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2B64FD" w:rsidRPr="00445B31" w:rsidP="00B01164" w14:paraId="58AEDF19" w14:textId="77777777">
      <w:pPr>
        <w:tabs>
          <w:tab w:val="left" w:pos="3544"/>
        </w:tabs>
        <w:jc w:val="center"/>
        <w:rPr>
          <w:b/>
          <w:sz w:val="26"/>
          <w:szCs w:val="26"/>
        </w:rPr>
      </w:pPr>
      <w:r w:rsidRPr="00445B31">
        <w:rPr>
          <w:b/>
          <w:sz w:val="26"/>
          <w:szCs w:val="26"/>
        </w:rPr>
        <w:t xml:space="preserve">Informatīvais ziņojums </w:t>
      </w:r>
    </w:p>
    <w:p w:rsidR="00572A87" w:rsidRPr="00445B31" w:rsidP="00B01164" w14:paraId="47B1AB6E" w14:textId="3F81A1EA">
      <w:pPr>
        <w:tabs>
          <w:tab w:val="left" w:pos="3544"/>
        </w:tabs>
        <w:jc w:val="center"/>
        <w:rPr>
          <w:b/>
          <w:sz w:val="26"/>
          <w:szCs w:val="26"/>
        </w:rPr>
      </w:pPr>
      <w:r w:rsidRPr="00445B31">
        <w:rPr>
          <w:b/>
          <w:sz w:val="26"/>
          <w:szCs w:val="26"/>
        </w:rPr>
        <w:t>p</w:t>
      </w:r>
      <w:r w:rsidRPr="00445B31" w:rsidR="00504E5B">
        <w:rPr>
          <w:b/>
          <w:sz w:val="26"/>
          <w:szCs w:val="26"/>
        </w:rPr>
        <w:t>ar</w:t>
      </w:r>
      <w:r w:rsidRPr="00445B31" w:rsidR="00F7090B">
        <w:rPr>
          <w:b/>
          <w:sz w:val="26"/>
          <w:szCs w:val="26"/>
        </w:rPr>
        <w:t xml:space="preserve"> Ministru kabineta 20</w:t>
      </w:r>
      <w:r w:rsidRPr="00445B31" w:rsidR="00664A8B">
        <w:rPr>
          <w:b/>
          <w:sz w:val="26"/>
          <w:szCs w:val="26"/>
        </w:rPr>
        <w:t>1</w:t>
      </w:r>
      <w:r w:rsidR="00A32893">
        <w:rPr>
          <w:b/>
          <w:sz w:val="26"/>
          <w:szCs w:val="26"/>
        </w:rPr>
        <w:t>7</w:t>
      </w:r>
      <w:r w:rsidRPr="00445B31" w:rsidR="00F7090B">
        <w:rPr>
          <w:b/>
          <w:sz w:val="26"/>
          <w:szCs w:val="26"/>
        </w:rPr>
        <w:t>.</w:t>
      </w:r>
      <w:r w:rsidRPr="00445B31" w:rsidR="00A2750C">
        <w:rPr>
          <w:b/>
          <w:sz w:val="26"/>
          <w:szCs w:val="26"/>
        </w:rPr>
        <w:t> </w:t>
      </w:r>
      <w:r w:rsidRPr="00445B31" w:rsidR="00F7090B">
        <w:rPr>
          <w:b/>
          <w:sz w:val="26"/>
          <w:szCs w:val="26"/>
        </w:rPr>
        <w:t xml:space="preserve">gada </w:t>
      </w:r>
      <w:r w:rsidR="00A32893">
        <w:rPr>
          <w:b/>
          <w:sz w:val="26"/>
          <w:szCs w:val="26"/>
        </w:rPr>
        <w:t>25.</w:t>
      </w:r>
      <w:r w:rsidR="00A7601D">
        <w:rPr>
          <w:b/>
          <w:sz w:val="26"/>
          <w:szCs w:val="26"/>
        </w:rPr>
        <w:t> </w:t>
      </w:r>
      <w:r w:rsidR="00A32893">
        <w:rPr>
          <w:b/>
          <w:sz w:val="26"/>
          <w:szCs w:val="26"/>
        </w:rPr>
        <w:t xml:space="preserve">jūlija </w:t>
      </w:r>
      <w:r w:rsidRPr="00445B31" w:rsidR="00F7090B">
        <w:rPr>
          <w:b/>
          <w:sz w:val="26"/>
          <w:szCs w:val="26"/>
        </w:rPr>
        <w:t>sēdes protokollēmum</w:t>
      </w:r>
      <w:r w:rsidRPr="00445B31" w:rsidR="0072760F">
        <w:rPr>
          <w:b/>
          <w:sz w:val="26"/>
          <w:szCs w:val="26"/>
        </w:rPr>
        <w:t>ā</w:t>
      </w:r>
      <w:r w:rsidRPr="00445B31" w:rsidR="00165C18">
        <w:rPr>
          <w:b/>
          <w:sz w:val="26"/>
          <w:szCs w:val="26"/>
        </w:rPr>
        <w:t xml:space="preserve"> </w:t>
      </w:r>
      <w:r w:rsidRPr="00445B31" w:rsidR="00211F70">
        <w:rPr>
          <w:b/>
          <w:sz w:val="26"/>
          <w:szCs w:val="26"/>
        </w:rPr>
        <w:t>(prot</w:t>
      </w:r>
      <w:r w:rsidRPr="00445B31" w:rsidR="00664A8B">
        <w:rPr>
          <w:b/>
          <w:sz w:val="26"/>
          <w:szCs w:val="26"/>
        </w:rPr>
        <w:t>.</w:t>
      </w:r>
      <w:r w:rsidRPr="00445B31" w:rsidR="004B7C44">
        <w:rPr>
          <w:b/>
          <w:sz w:val="26"/>
          <w:szCs w:val="26"/>
        </w:rPr>
        <w:t> </w:t>
      </w:r>
      <w:r w:rsidRPr="00445B31" w:rsidR="00211F70">
        <w:rPr>
          <w:b/>
          <w:sz w:val="26"/>
          <w:szCs w:val="26"/>
        </w:rPr>
        <w:t>Nr.</w:t>
      </w:r>
      <w:r w:rsidR="00A7601D">
        <w:rPr>
          <w:b/>
          <w:sz w:val="26"/>
          <w:szCs w:val="26"/>
        </w:rPr>
        <w:t> </w:t>
      </w:r>
      <w:r w:rsidR="00A32893">
        <w:rPr>
          <w:b/>
          <w:sz w:val="26"/>
          <w:szCs w:val="26"/>
        </w:rPr>
        <w:t>37</w:t>
      </w:r>
      <w:r w:rsidRPr="00445B31" w:rsidR="00577CAF">
        <w:rPr>
          <w:b/>
          <w:sz w:val="26"/>
          <w:szCs w:val="26"/>
        </w:rPr>
        <w:t>,</w:t>
      </w:r>
      <w:r w:rsidRPr="00445B31" w:rsidR="00664A8B">
        <w:rPr>
          <w:b/>
          <w:sz w:val="26"/>
          <w:szCs w:val="26"/>
        </w:rPr>
        <w:t xml:space="preserve"> </w:t>
      </w:r>
      <w:r w:rsidR="00A32893">
        <w:rPr>
          <w:b/>
          <w:sz w:val="26"/>
          <w:szCs w:val="26"/>
        </w:rPr>
        <w:t>1</w:t>
      </w:r>
      <w:r w:rsidRPr="00445B31" w:rsidR="00211F70">
        <w:rPr>
          <w:b/>
          <w:sz w:val="26"/>
          <w:szCs w:val="26"/>
        </w:rPr>
        <w:t xml:space="preserve">.§) </w:t>
      </w:r>
      <w:r w:rsidR="00445B31">
        <w:rPr>
          <w:b/>
          <w:sz w:val="26"/>
          <w:szCs w:val="26"/>
        </w:rPr>
        <w:t>“</w:t>
      </w:r>
      <w:r w:rsidR="00A32893">
        <w:rPr>
          <w:b/>
          <w:sz w:val="26"/>
          <w:szCs w:val="26"/>
        </w:rPr>
        <w:t>Noteikumu projekts “Latvijas Ģeotelpiskās informācijas aģentūras maksas pakalpojumu cenrādis un tā piemērošanas kārtība”” 3</w:t>
      </w:r>
      <w:r w:rsidR="00445B31">
        <w:rPr>
          <w:b/>
          <w:sz w:val="26"/>
          <w:szCs w:val="26"/>
        </w:rPr>
        <w:t>.</w:t>
      </w:r>
      <w:r w:rsidR="00CC2832">
        <w:rPr>
          <w:b/>
          <w:sz w:val="26"/>
          <w:szCs w:val="26"/>
        </w:rPr>
        <w:t> </w:t>
      </w:r>
      <w:r w:rsidR="00445B31">
        <w:rPr>
          <w:b/>
          <w:sz w:val="26"/>
          <w:szCs w:val="26"/>
        </w:rPr>
        <w:t>punktā</w:t>
      </w:r>
      <w:r w:rsidRPr="00445B31" w:rsidR="00664A8B">
        <w:rPr>
          <w:b/>
          <w:sz w:val="26"/>
          <w:szCs w:val="26"/>
        </w:rPr>
        <w:t xml:space="preserve"> dotā uzdevuma </w:t>
      </w:r>
      <w:r w:rsidRPr="00445B31" w:rsidR="00386846">
        <w:rPr>
          <w:b/>
          <w:sz w:val="26"/>
          <w:szCs w:val="26"/>
        </w:rPr>
        <w:t>izpildi</w:t>
      </w:r>
    </w:p>
    <w:p w:rsidR="00504E5B" w:rsidRPr="00664A8B" w:rsidP="00C7019D" w14:paraId="060A83A4" w14:textId="77777777">
      <w:pPr>
        <w:spacing w:before="120"/>
        <w:jc w:val="center"/>
        <w:rPr>
          <w:b/>
          <w:highlight w:val="yellow"/>
        </w:rPr>
      </w:pPr>
    </w:p>
    <w:p w:rsidR="00643103" w:rsidP="00643103" w14:paraId="5C68D489" w14:textId="09D9D5A3">
      <w:pPr>
        <w:ind w:firstLine="709"/>
        <w:jc w:val="both"/>
      </w:pPr>
      <w:r>
        <w:t xml:space="preserve">Ar </w:t>
      </w:r>
      <w:r w:rsidR="00E55745">
        <w:t>M</w:t>
      </w:r>
      <w:r>
        <w:t>inistru kabineta 2017.</w:t>
      </w:r>
      <w:r w:rsidR="00A7601D">
        <w:t> </w:t>
      </w:r>
      <w:r>
        <w:t xml:space="preserve">gada </w:t>
      </w:r>
      <w:r w:rsidR="00A7601D">
        <w:t>25</w:t>
      </w:r>
      <w:r>
        <w:t>.</w:t>
      </w:r>
      <w:r w:rsidR="00A7601D">
        <w:t> </w:t>
      </w:r>
      <w:r>
        <w:t>jūlija sēdes protokollēmuma (prot. Nr.</w:t>
      </w:r>
      <w:r w:rsidR="00A7601D">
        <w:t> 37</w:t>
      </w:r>
      <w:r>
        <w:t xml:space="preserve">, </w:t>
      </w:r>
      <w:r w:rsidR="00A7601D">
        <w:t>1</w:t>
      </w:r>
      <w:r>
        <w:t>.</w:t>
      </w:r>
      <w:r w:rsidRPr="00643103">
        <w:t xml:space="preserve"> </w:t>
      </w:r>
      <w:r w:rsidRPr="00664A8B">
        <w:t>§</w:t>
      </w:r>
      <w:r>
        <w:t xml:space="preserve">) “Noteikumu projekts “Latvijas Ģeotelpiskās informācijas aģentūras maksas pakalpojumu cenrādis un tā piemērošanas kārtība” </w:t>
      </w:r>
      <w:r w:rsidR="00A7601D">
        <w:t>3</w:t>
      </w:r>
      <w:r>
        <w:t>.</w:t>
      </w:r>
      <w:r w:rsidR="00A7601D">
        <w:t> </w:t>
      </w:r>
      <w:r>
        <w:t>punktu Vides aizsardzības un reģionālās attīstības ministrijai</w:t>
      </w:r>
      <w:r w:rsidR="00E55745">
        <w:t xml:space="preserve"> (turpmāk – VARAM)</w:t>
      </w:r>
      <w:r>
        <w:t xml:space="preserve"> un citiem ģeotelpiskās informācijas pamatdatu turētājiem, pieaicinot biedrību “Latvijas </w:t>
      </w:r>
      <w:r w:rsidR="00A32893">
        <w:t>atvērto tehnoloģiju asociācija</w:t>
      </w:r>
      <w:r>
        <w:t>”</w:t>
      </w:r>
      <w:r w:rsidR="00387992">
        <w:t xml:space="preserve"> (turpmāk – LATA)</w:t>
      </w:r>
      <w:r w:rsidR="00A32893">
        <w:t xml:space="preserve">, </w:t>
      </w:r>
      <w:r w:rsidR="002851BF">
        <w:t xml:space="preserve">uzdots </w:t>
      </w:r>
      <w:r w:rsidR="00A32893">
        <w:t>izstrādāt un līdz 2017</w:t>
      </w:r>
      <w:r w:rsidR="00C51B6E">
        <w:t>.</w:t>
      </w:r>
      <w:r w:rsidR="00A7601D">
        <w:t> </w:t>
      </w:r>
      <w:r w:rsidR="00A32893">
        <w:t>gada 1.</w:t>
      </w:r>
      <w:r w:rsidR="00A7601D">
        <w:t> </w:t>
      </w:r>
      <w:r w:rsidR="00A32893">
        <w:t>novembrim iesniegt izskatīšanai Ministru kabinetā informatīvo ziņojumu par ģeotelpisko pamatdatu atvēršanas ekonomisko lietderību un finansiālo ietekmi</w:t>
      </w:r>
      <w:r w:rsidR="00316797">
        <w:t xml:space="preserve"> (turpmāk tekstā – protokollēmums)</w:t>
      </w:r>
      <w:r>
        <w:t xml:space="preserve">. </w:t>
      </w:r>
    </w:p>
    <w:p w:rsidR="00E62A72" w:rsidP="00643103" w14:paraId="3CAE812F" w14:textId="77777777">
      <w:pPr>
        <w:ind w:firstLine="709"/>
        <w:jc w:val="both"/>
      </w:pPr>
    </w:p>
    <w:p w:rsidR="00A32893" w:rsidP="00E62A72" w14:paraId="0D9EB3C1" w14:textId="77777777">
      <w:pPr>
        <w:pStyle w:val="ListParagraph"/>
        <w:numPr>
          <w:ilvl w:val="0"/>
          <w:numId w:val="10"/>
        </w:numPr>
        <w:jc w:val="both"/>
        <w:rPr>
          <w:b/>
        </w:rPr>
      </w:pPr>
      <w:r w:rsidRPr="00E62A72">
        <w:rPr>
          <w:b/>
        </w:rPr>
        <w:t>Īss pašreizējās situācijas apraksts:</w:t>
      </w:r>
    </w:p>
    <w:p w:rsidR="00E62A72" w:rsidRPr="00E62A72" w:rsidP="00E62A72" w14:paraId="1C62B820" w14:textId="77777777">
      <w:pPr>
        <w:pStyle w:val="ListParagraph"/>
        <w:ind w:left="1069"/>
        <w:jc w:val="both"/>
        <w:rPr>
          <w:b/>
        </w:rPr>
      </w:pPr>
    </w:p>
    <w:p w:rsidR="00A32893" w:rsidP="00A32893" w14:paraId="123E6245" w14:textId="2116BB8F">
      <w:pPr>
        <w:ind w:firstLine="709"/>
        <w:jc w:val="both"/>
      </w:pPr>
      <w:r>
        <w:t>Atbilstoši Starptautiskajai atvērto datu hartai</w:t>
      </w:r>
      <w:r>
        <w:rPr>
          <w:rStyle w:val="FootnoteReference"/>
        </w:rPr>
        <w:footnoteReference w:id="3"/>
      </w:r>
      <w:r>
        <w:t xml:space="preserve"> ikviena organizācija tiek aicināta digitālās informācijas uzturēšanas jomā ievērot principu “atvērts pēc noklusējuma”, publiski sniedzot informāciju sabiedrībai, izņemot gadījumus, kad to nedrīkst veikt. Pēc Eiropas Komisijas viedokļa datu atvēršana var ievērojami uzlabot valsts administrācijas caurskatāmību un veicināt iedzīvotāju sociālās un politiskās aktivitātes izaugsmi. 2014.-2020.</w:t>
      </w:r>
      <w:r w:rsidR="009E5DE6">
        <w:t> </w:t>
      </w:r>
      <w:r>
        <w:t xml:space="preserve">gada attīstības plānošanas periodā Publiskās pārvaldes datu pieejamība atvērto datu kopu veidā ir viens no </w:t>
      </w:r>
      <w:r w:rsidR="00FC02E1">
        <w:br/>
      </w:r>
      <w:r>
        <w:t>e-pārvaldes politikas pamatprincipiem.</w:t>
      </w:r>
    </w:p>
    <w:p w:rsidR="00A32893" w:rsidP="00A32893" w14:paraId="7E4C9ED8" w14:textId="2CB66381">
      <w:pPr>
        <w:ind w:firstLine="709"/>
        <w:jc w:val="both"/>
      </w:pPr>
      <w:r>
        <w:t xml:space="preserve">Publiskajā pārvaldē tikai atsevišķos izņēmuma gadījumos tiek nodrošinātas atvērto datu izmantošanas iespējas. Nodrošinot valsts rīcībā esošo datu brīvu pieejamību, tiktu radīti priekšnoteikumi privātā, nevalstiskā un zinātniskā sektora iespējamai sadarbībai, kas balstītos uz publiskās pārvaldes radītiem datiem. Tā rezultātā tiktu radītu jauni e-pakalpojumi un </w:t>
      </w:r>
      <w:r w:rsidR="00830B65">
        <w:t xml:space="preserve">informācijas un komunikācijas tehnoloģiju (turpmāk – </w:t>
      </w:r>
      <w:r>
        <w:t>IKT</w:t>
      </w:r>
      <w:r w:rsidR="00830B65">
        <w:t>)</w:t>
      </w:r>
      <w:r>
        <w:t xml:space="preserve"> produktu attīstība, kā arī iespēja pastarpinātai situācijas analīzei un izpētei, tādejādi sekmējot valsts ekonomisko izaugsmi, darbavietu radīšanu, kā arī sociālo procesu modelēšanu un paredzēšanu nākotnē. </w:t>
      </w:r>
    </w:p>
    <w:p w:rsidR="00A32893" w:rsidP="00A32893" w14:paraId="5C76C3FF" w14:textId="04E58A89">
      <w:pPr>
        <w:ind w:firstLine="709"/>
        <w:jc w:val="both"/>
      </w:pPr>
      <w:r>
        <w:t>Latvijā šobrīd n</w:t>
      </w:r>
      <w:r w:rsidRPr="003B118A">
        <w:t>av vienotas pieejas atvērto datu politikas ieviešanai, jo nav noteiktas prioritātes</w:t>
      </w:r>
      <w:r w:rsidR="00316797">
        <w:t>,</w:t>
      </w:r>
      <w:r w:rsidRPr="003B118A">
        <w:t xml:space="preserve"> un veicināšana</w:t>
      </w:r>
      <w:r>
        <w:t xml:space="preserve"> atvērt datus</w:t>
      </w:r>
      <w:r w:rsidRPr="003B118A">
        <w:t xml:space="preserve"> tiek organ</w:t>
      </w:r>
      <w:r>
        <w:t xml:space="preserve">izēta tikai </w:t>
      </w:r>
      <w:r w:rsidR="00830B65">
        <w:t>Eiropas reģionālā</w:t>
      </w:r>
      <w:r w:rsidR="002851BF">
        <w:t>s</w:t>
      </w:r>
      <w:r w:rsidR="00830B65">
        <w:t xml:space="preserve"> attīstības fonda (turpmāk – </w:t>
      </w:r>
      <w:r>
        <w:t>ERAF</w:t>
      </w:r>
      <w:r w:rsidR="00830B65">
        <w:t>)</w:t>
      </w:r>
      <w:r>
        <w:t xml:space="preserve"> vai citu ārvalstu finansētajos</w:t>
      </w:r>
      <w:r w:rsidRPr="003B118A">
        <w:t xml:space="preserve"> projektos.</w:t>
      </w:r>
      <w:r>
        <w:t xml:space="preserve"> </w:t>
      </w:r>
      <w:r w:rsidRPr="003B118A">
        <w:t>Iestādēm, kuras nav piedalījušās ERAF vai citu ārvalstu projektu īstenošanā, izdevumi datu apmaiņai un sadarbspējas attīstībai ir jāfinansē no pieejamā budžeta. Vidēji gadā IKT jomā (bez ārvalstu finansējuma) izdevumi ir ap 69</w:t>
      </w:r>
      <w:r w:rsidR="00316797">
        <w:t> </w:t>
      </w:r>
      <w:r w:rsidRPr="003B118A">
        <w:t>730</w:t>
      </w:r>
      <w:r w:rsidR="00316797">
        <w:t> </w:t>
      </w:r>
      <w:r w:rsidRPr="003B118A">
        <w:t>507</w:t>
      </w:r>
      <w:r w:rsidR="00316797">
        <w:t> </w:t>
      </w:r>
      <w:r w:rsidRPr="00830B65" w:rsidR="00316797">
        <w:rPr>
          <w:i/>
        </w:rPr>
        <w:t>euro</w:t>
      </w:r>
      <w:r w:rsidRPr="003B118A">
        <w:t>.</w:t>
      </w:r>
      <w:r>
        <w:t xml:space="preserve"> </w:t>
      </w:r>
      <w:r w:rsidRPr="003B118A">
        <w:t>Tomēr jāņem vērā, ka būtiski lielākā I</w:t>
      </w:r>
      <w:r>
        <w:t>KT izdevumu</w:t>
      </w:r>
      <w:r w:rsidRPr="003B118A">
        <w:t xml:space="preserve"> daļa sedz </w:t>
      </w:r>
      <w:r>
        <w:t>jau esošās</w:t>
      </w:r>
      <w:r w:rsidRPr="003B118A">
        <w:t xml:space="preserve"> infrastruktūras un izstrādāto informācijas sistēmu uzturēšanu. </w:t>
      </w:r>
    </w:p>
    <w:p w:rsidR="00A32893" w:rsidRPr="003B118A" w:rsidP="00A32893" w14:paraId="5349ED78" w14:textId="5B3CAFBA">
      <w:pPr>
        <w:ind w:firstLine="709"/>
        <w:jc w:val="both"/>
      </w:pPr>
      <w:r w:rsidRPr="003B118A">
        <w:t>E</w:t>
      </w:r>
      <w:r w:rsidR="00830B65">
        <w:t>iropas Savienības</w:t>
      </w:r>
      <w:r w:rsidRPr="003B118A">
        <w:t xml:space="preserve">  fondu  projektu  specifiskajos  atbalsta  mērķa īstenošanas noteikumos</w:t>
      </w:r>
      <w:r>
        <w:rPr>
          <w:rStyle w:val="FootnoteReference"/>
        </w:rPr>
        <w:footnoteReference w:id="4"/>
      </w:r>
      <w:r w:rsidRPr="003B118A">
        <w:t xml:space="preserve">  tiek  paredzēts,  ka  </w:t>
      </w:r>
      <w:r w:rsidR="00830B65">
        <w:t>viens no pasākuma mērķiem</w:t>
      </w:r>
      <w:r w:rsidRPr="003B118A">
        <w:t xml:space="preserve">  ir  radīt priekšnosacījumus publiskās pārvaldes rīcībā esošās informācijas izmantošanai ārpus publiskā sektora. Attiecīgi viena no atbalstāmajām aktivitātēm ir datu atkalizmantošana.</w:t>
      </w:r>
    </w:p>
    <w:p w:rsidR="00A32893" w:rsidP="00A32893" w14:paraId="5627FAA5" w14:textId="7EED50B5">
      <w:pPr>
        <w:ind w:firstLine="709"/>
        <w:jc w:val="both"/>
      </w:pPr>
      <w:r>
        <w:t>Vienlaikus</w:t>
      </w:r>
      <w:r w:rsidRPr="003B118A">
        <w:t xml:space="preserve"> datu publicēšana pati par sevi nerada tiešus ieguvumus, tā rada tikai nepieciešamos apstākļus, lai, balstoties uz pieejamo informāciju, radītu papildu pievienoto vērtību</w:t>
      </w:r>
      <w:r>
        <w:rPr>
          <w:rStyle w:val="FootnoteReference"/>
        </w:rPr>
        <w:footnoteReference w:id="5"/>
      </w:r>
      <w:r w:rsidRPr="003B118A">
        <w:t>.</w:t>
      </w:r>
      <w:r w:rsidR="00FC02E1">
        <w:t xml:space="preserve"> </w:t>
      </w:r>
    </w:p>
    <w:p w:rsidR="00387992" w:rsidP="00387992" w14:paraId="56C774EA" w14:textId="713E1C9F">
      <w:pPr>
        <w:ind w:firstLine="709"/>
        <w:jc w:val="both"/>
      </w:pPr>
      <w:r>
        <w:t>Lai izpildītu Ministru kabineta protokollēmum</w:t>
      </w:r>
      <w:r w:rsidR="009A16E3">
        <w:t>ā doto uzdevumu</w:t>
      </w:r>
      <w:r>
        <w:t xml:space="preserve">, VARAM organizēja trīspusējās tikšanās ar Valsts zemes dienestu un LATA, un </w:t>
      </w:r>
      <w:r w:rsidR="004644BA">
        <w:t xml:space="preserve">biedrību </w:t>
      </w:r>
      <w:r>
        <w:t xml:space="preserve">“Latvijas informācijas un komunikāciju tehnoloģiju asociāciju” (turpmāk – LIKTA), kā arī ar Latvijas Ģeotelpiskās informācijas aģentūru (turpmāk – LĢIA) un </w:t>
      </w:r>
      <w:r w:rsidR="004644BA">
        <w:t xml:space="preserve">citiem </w:t>
      </w:r>
      <w:r>
        <w:t>industrijas pārstāvjiem par industriju interesējošām prioritāri atveramajām datu kopām.</w:t>
      </w:r>
    </w:p>
    <w:p w:rsidR="00E62A72" w:rsidRPr="003B118A" w:rsidP="00A32893" w14:paraId="3CDD2134" w14:textId="77777777">
      <w:pPr>
        <w:ind w:firstLine="709"/>
        <w:jc w:val="both"/>
      </w:pPr>
    </w:p>
    <w:p w:rsidR="00A32893" w:rsidRPr="002256CF" w:rsidP="00E62A72" w14:paraId="0A4FACD3" w14:textId="61EE774A">
      <w:pPr>
        <w:pStyle w:val="ListParagraph"/>
        <w:numPr>
          <w:ilvl w:val="0"/>
          <w:numId w:val="10"/>
        </w:numPr>
        <w:jc w:val="both"/>
        <w:rPr>
          <w:b/>
        </w:rPr>
      </w:pPr>
      <w:r w:rsidRPr="002256CF">
        <w:rPr>
          <w:b/>
        </w:rPr>
        <w:t>Valsts ze</w:t>
      </w:r>
      <w:r w:rsidR="00501713">
        <w:rPr>
          <w:b/>
        </w:rPr>
        <w:t>mes dienesta datu nodrošināšana</w:t>
      </w:r>
      <w:r w:rsidRPr="002256CF">
        <w:rPr>
          <w:b/>
        </w:rPr>
        <w:t xml:space="preserve"> sabiedrībai bez maksas</w:t>
      </w:r>
    </w:p>
    <w:p w:rsidR="00E62A72" w:rsidRPr="003B118A" w:rsidP="00E62A72" w14:paraId="2DA5C177" w14:textId="77777777">
      <w:pPr>
        <w:pStyle w:val="ListParagraph"/>
        <w:ind w:left="1069"/>
        <w:jc w:val="both"/>
      </w:pPr>
    </w:p>
    <w:p w:rsidR="00A32893" w:rsidP="00643103" w14:paraId="4AFBCF84" w14:textId="37287C33">
      <w:pPr>
        <w:ind w:firstLine="709"/>
        <w:jc w:val="both"/>
      </w:pPr>
      <w:r>
        <w:t>Sanāksmē ar V</w:t>
      </w:r>
      <w:r w:rsidR="004644BA">
        <w:t>alsts zemes dienestu (turpmāk tekstā – VZD)</w:t>
      </w:r>
      <w:r>
        <w:t xml:space="preserve"> tika panākta vienošanās, ka prioritāri tiek atvērtas divas datu kopas: </w:t>
      </w:r>
      <w:r w:rsidRPr="00AF6B5F">
        <w:t xml:space="preserve">Valsts adrešu reģistrs un Administratīvo robežu datu kopa. Tikšanās laikā VZD pārstāvji informēja sanāksmes dalībniekus, ka </w:t>
      </w:r>
      <w:r w:rsidRPr="00AF6B5F" w:rsidR="00AF6B5F">
        <w:t>aprēķini par Adrešu reģistra un Administratīvo robežu datu</w:t>
      </w:r>
      <w:r w:rsidR="00694F13">
        <w:t xml:space="preserve"> kopas nodrošināšanu sabiedrībai bez maksas ir jau veikti un Tieslietu ministrija 2016.gadā tos virzīja </w:t>
      </w:r>
      <w:r w:rsidR="002851BF">
        <w:t>izskatīšanai Ministru kabinetā</w:t>
      </w:r>
      <w:r w:rsidR="00694F13">
        <w:t xml:space="preserve"> kā jauno politikas iniciatīvu 2017.gadam</w:t>
      </w:r>
      <w:r w:rsidRPr="00AF6B5F" w:rsidR="00AF6B5F">
        <w:t>. Priekšlikums Ministru kabinetā netika atbalstīts.</w:t>
      </w:r>
    </w:p>
    <w:p w:rsidR="00A32893" w:rsidRPr="00A32893" w:rsidP="00A32893" w14:paraId="3954DA43" w14:textId="2E7FB8E5">
      <w:pPr>
        <w:ind w:firstLine="720"/>
        <w:jc w:val="both"/>
      </w:pPr>
      <w:r w:rsidRPr="00A32893">
        <w:t>Šobrīd</w:t>
      </w:r>
      <w:r w:rsidR="002851BF">
        <w:t xml:space="preserve"> ir izveidojusies situācija, ka</w:t>
      </w:r>
      <w:r w:rsidRPr="00A32893">
        <w:t xml:space="preserve"> </w:t>
      </w:r>
      <w:r w:rsidR="00830B65">
        <w:t>Valsts a</w:t>
      </w:r>
      <w:r w:rsidRPr="00A32893">
        <w:t>d</w:t>
      </w:r>
      <w:r w:rsidR="00830B65">
        <w:t>rešu reģistra un A</w:t>
      </w:r>
      <w:r w:rsidRPr="00A32893">
        <w:t xml:space="preserve">dministratīvo robežu datu pieejamība neatbilst Latvijas ģeotelpiskās informācijas attīstības koncepcijā noteiktajam finansēšanas modelim </w:t>
      </w:r>
      <w:r w:rsidR="00126AFF">
        <w:t>“</w:t>
      </w:r>
      <w:r w:rsidRPr="00A32893">
        <w:t>A</w:t>
      </w:r>
      <w:r w:rsidR="00126AFF">
        <w:t>”</w:t>
      </w:r>
      <w:r w:rsidRPr="00A32893">
        <w:t xml:space="preserve"> laika periodā no 2014. līdz 2020.</w:t>
      </w:r>
      <w:r w:rsidR="00126AFF">
        <w:t> </w:t>
      </w:r>
      <w:r w:rsidRPr="00A32893">
        <w:t>gadam, kā arī netiek ievērots Ģeotelpiskās informācijas likuma 25.</w:t>
      </w:r>
      <w:r w:rsidR="00126AFF">
        <w:t> </w:t>
      </w:r>
      <w:r w:rsidRPr="00A32893">
        <w:t>panta ceturtās un piektās daļas nosacījumi. Lai šo problēmu risinātu, ir nepieciešama valsts budžeta dotācija, kas ļautu adrešu datus Informācijas atklātības likuma izpratnē uzskatīt par atvērtajiem datiem.</w:t>
      </w:r>
    </w:p>
    <w:p w:rsidR="00A32893" w:rsidRPr="00A32893" w:rsidP="00A32893" w14:paraId="074617FB" w14:textId="0052F416">
      <w:pPr>
        <w:ind w:firstLine="720"/>
        <w:jc w:val="both"/>
      </w:pPr>
      <w:r w:rsidRPr="00A32893">
        <w:t xml:space="preserve">Tāpat </w:t>
      </w:r>
      <w:r w:rsidR="00860A0F">
        <w:t>Valsts a</w:t>
      </w:r>
      <w:r w:rsidRPr="00A32893">
        <w:t xml:space="preserve">drešu reģistra un administratīvo robežu dati ir nepieciešami dažām valsts pārvaldes institūcijām, kuru kompetencē ir Eiropas Parlamenta un Padomes </w:t>
      </w:r>
      <w:r w:rsidR="004535F3">
        <w:t xml:space="preserve">2007. gada 14. marta </w:t>
      </w:r>
      <w:r w:rsidRPr="00A32893">
        <w:t>direktīvas 2007/2/EK, ar ko izveido Telpiskās informācijas infrastruktūru Eiropas Kopienā (INSPIRE)</w:t>
      </w:r>
      <w:r w:rsidR="004535F3">
        <w:t xml:space="preserve"> (turpmāk tekstā – INSPIRE direktīva) prasību pārņemšana valsts tiesību aktos un secīga prasību</w:t>
      </w:r>
      <w:r w:rsidRPr="00A32893">
        <w:t xml:space="preserve"> ieviešana, lai publicētu </w:t>
      </w:r>
      <w:r w:rsidR="004D7534">
        <w:t>Latvijas Ģ</w:t>
      </w:r>
      <w:r w:rsidRPr="00A32893">
        <w:t>eoportālā</w:t>
      </w:r>
      <w:r w:rsidR="004D7534">
        <w:t xml:space="preserve"> (www.geolatvija.lv)</w:t>
      </w:r>
      <w:r w:rsidRPr="00A32893">
        <w:t xml:space="preserve"> savus nozares ģeotelpiskos datus (piemēram, statistikas informācija, veselības informācija u.c.), kas apkopoti administratīvo un teritoriālo vienību līmenī gan skatīšanās, gan lejupielādes pakalpojumos. Saskaņā ar INSPIRE direktīvu </w:t>
      </w:r>
      <w:r w:rsidR="004535F3">
        <w:t xml:space="preserve">Eiropas Savienības </w:t>
      </w:r>
      <w:r w:rsidR="009A16E3">
        <w:t>dalīb</w:t>
      </w:r>
      <w:r w:rsidRPr="00A32893">
        <w:t xml:space="preserve">valstīm līdz </w:t>
      </w:r>
      <w:r w:rsidR="009A16E3">
        <w:t>2015.</w:t>
      </w:r>
      <w:r w:rsidR="004535F3">
        <w:t> </w:t>
      </w:r>
      <w:r w:rsidR="009A16E3">
        <w:t>gada 10.</w:t>
      </w:r>
      <w:r w:rsidR="004535F3">
        <w:t> </w:t>
      </w:r>
      <w:r w:rsidR="009A16E3">
        <w:t>decembrim</w:t>
      </w:r>
      <w:r w:rsidRPr="00A32893">
        <w:t xml:space="preserve"> bija jānodrošina telpisko datu pieejamība sabiedrībai atbilstoši </w:t>
      </w:r>
      <w:r w:rsidR="004535F3">
        <w:t>tajā</w:t>
      </w:r>
      <w:r w:rsidRPr="00A32893">
        <w:t xml:space="preserve"> noteiktajām prasībām, tomēr šobrīd Latvija </w:t>
      </w:r>
      <w:r w:rsidR="009A16E3">
        <w:t xml:space="preserve">INSPIRE </w:t>
      </w:r>
      <w:r w:rsidRPr="00A32893">
        <w:t>direktīvas prasības nav pilnībā izpildījusi. Nodrošino</w:t>
      </w:r>
      <w:r>
        <w:t>t</w:t>
      </w:r>
      <w:r w:rsidRPr="00A32893">
        <w:t xml:space="preserve"> </w:t>
      </w:r>
      <w:r w:rsidR="00860A0F">
        <w:t>Valsts a</w:t>
      </w:r>
      <w:r w:rsidRPr="00A32893" w:rsidR="00860A0F">
        <w:t>d</w:t>
      </w:r>
      <w:r w:rsidR="00860A0F">
        <w:t xml:space="preserve">rešu reģistra </w:t>
      </w:r>
      <w:r w:rsidRPr="00A32893">
        <w:t xml:space="preserve">un </w:t>
      </w:r>
      <w:r w:rsidR="00860A0F">
        <w:t>A</w:t>
      </w:r>
      <w:r w:rsidRPr="00A32893">
        <w:t xml:space="preserve">dministratīvo robežu datu atvēršanu, tiktu veicināta arī šī </w:t>
      </w:r>
      <w:r w:rsidR="004535F3">
        <w:t xml:space="preserve">INSPIRE </w:t>
      </w:r>
      <w:r w:rsidRPr="00A32893">
        <w:t xml:space="preserve">direktīvas prasību izpilde, un varētu izvairīties no </w:t>
      </w:r>
      <w:r w:rsidR="004535F3">
        <w:t xml:space="preserve">riska, </w:t>
      </w:r>
      <w:r w:rsidR="002851BF">
        <w:t>ka Eiropas Komisija</w:t>
      </w:r>
      <w:r w:rsidR="00501713">
        <w:t xml:space="preserve"> uzsāktu</w:t>
      </w:r>
      <w:r w:rsidR="004535F3">
        <w:t xml:space="preserve"> </w:t>
      </w:r>
      <w:r w:rsidR="002851BF">
        <w:t>pārkāpuma</w:t>
      </w:r>
      <w:r w:rsidRPr="00A32893">
        <w:t xml:space="preserve"> procedūr</w:t>
      </w:r>
      <w:r w:rsidR="004535F3">
        <w:t>u pret Latviju</w:t>
      </w:r>
      <w:r w:rsidRPr="00A32893">
        <w:t>.</w:t>
      </w:r>
    </w:p>
    <w:p w:rsidR="00A32893" w:rsidP="00A32893" w14:paraId="2712B148" w14:textId="6604AEBB">
      <w:pPr>
        <w:ind w:firstLine="720"/>
        <w:jc w:val="both"/>
      </w:pPr>
      <w:r>
        <w:t>Jāvērš uzmanība arī tam</w:t>
      </w:r>
      <w:r w:rsidRPr="00A32893">
        <w:t xml:space="preserve">, </w:t>
      </w:r>
      <w:r>
        <w:t xml:space="preserve">ka </w:t>
      </w:r>
      <w:r w:rsidR="00830B65">
        <w:t>Valsts a</w:t>
      </w:r>
      <w:r w:rsidRPr="00A32893" w:rsidR="00830B65">
        <w:t>d</w:t>
      </w:r>
      <w:r w:rsidR="00830B65">
        <w:t>rešu reģistra un A</w:t>
      </w:r>
      <w:r w:rsidRPr="00A32893" w:rsidR="00830B65">
        <w:t xml:space="preserve">dministratīvo robežu datu </w:t>
      </w:r>
      <w:r w:rsidRPr="00A32893">
        <w:t>atvēršana būs at</w:t>
      </w:r>
      <w:r>
        <w:t>bilstoša Eiropas Komisijas apst</w:t>
      </w:r>
      <w:r w:rsidRPr="00A32893">
        <w:t>iprinātajai Digitālā Vienotā tirgus stratēģijai (</w:t>
      </w:r>
      <w:r w:rsidRPr="00830B65">
        <w:rPr>
          <w:i/>
        </w:rPr>
        <w:t xml:space="preserve">Digital Single Market </w:t>
      </w:r>
      <w:r>
        <w:rPr>
          <w:i/>
        </w:rPr>
        <w:t>S</w:t>
      </w:r>
      <w:r w:rsidRPr="00830B65">
        <w:rPr>
          <w:i/>
        </w:rPr>
        <w:t>trategy</w:t>
      </w:r>
      <w:r w:rsidRPr="00A32893">
        <w:t>), kas paredz publiskās pārvaldes datu aizvien plašāku atvēršanu sabiedrībai.</w:t>
      </w:r>
    </w:p>
    <w:p w:rsidR="00A32893" w:rsidRPr="00A32893" w:rsidP="00A32893" w14:paraId="1327DA5F" w14:textId="6CB74859">
      <w:pPr>
        <w:ind w:firstLine="720"/>
        <w:jc w:val="both"/>
        <w:rPr>
          <w:highlight w:val="yellow"/>
        </w:rPr>
      </w:pPr>
      <w:r>
        <w:t>Ņ</w:t>
      </w:r>
      <w:r w:rsidRPr="00A32893">
        <w:t xml:space="preserve">emot vērā to, ka informācija </w:t>
      </w:r>
      <w:r w:rsidR="00830B65">
        <w:t>no Valsts a</w:t>
      </w:r>
      <w:r w:rsidRPr="00A32893" w:rsidR="00830B65">
        <w:t>d</w:t>
      </w:r>
      <w:r w:rsidR="00830B65">
        <w:t xml:space="preserve">rešu reģistra </w:t>
      </w:r>
      <w:r w:rsidRPr="00A32893">
        <w:t>ir maksas dati, bieži pakalpojumu sniedzēji tos iegūst nevis no oficiālās Valsts adrešu reģistra informācijas sistēmas, bet no citiem avotiem. Tas nereti rada problēmas dažādu pakalpojumu sniegšanā un saņemšanā, piemēram</w:t>
      </w:r>
      <w:r w:rsidR="004535F3">
        <w:t>,</w:t>
      </w:r>
      <w:r w:rsidRPr="00A32893">
        <w:t xml:space="preserve"> dzīvojamo māju apsaimniekošanas jomā. Nodrošinot </w:t>
      </w:r>
      <w:r w:rsidR="00830B65">
        <w:t>Valsts a</w:t>
      </w:r>
      <w:r w:rsidRPr="00A32893" w:rsidR="00830B65">
        <w:t>d</w:t>
      </w:r>
      <w:r w:rsidR="00830B65">
        <w:t xml:space="preserve">rešu reģistram </w:t>
      </w:r>
      <w:r w:rsidRPr="00A32893">
        <w:t xml:space="preserve">vispārpieejas statusu, tas šāda veida problēmas atrisinātu, jo visa sabiedrība izmantotu vienotu adrešu informāciju. Turklāt, publiskās pārvaldes datu aizvien plašāka atvēršana sabiedrībai ļaus šos datus plašāk izmantot ne tikai valsts pārvaldē, bet arī privātajā sektorā, sniedzot iespēju uzņēmējiem radīt jaunus elektroniskos pakalpojumus, kuros varēs tikt izmantota precīza adrešu </w:t>
      </w:r>
      <w:r w:rsidRPr="00A32893">
        <w:t>informācija, tādējādi nodrošinot valsts pārvaldes līmenī uzkrātās informācijas atkalizmantošanu.</w:t>
      </w:r>
    </w:p>
    <w:p w:rsidR="00ED5433" w:rsidRPr="00ED5433" w:rsidP="00ED5433" w14:paraId="0A41546D" w14:textId="27CBDF05">
      <w:pPr>
        <w:widowControl w:val="0"/>
        <w:ind w:firstLine="709"/>
        <w:jc w:val="both"/>
        <w:rPr>
          <w:rFonts w:eastAsia="Calibri"/>
        </w:rPr>
      </w:pPr>
      <w:r w:rsidRPr="00ED5433">
        <w:rPr>
          <w:rFonts w:eastAsia="Calibri"/>
        </w:rPr>
        <w:t>Saskaņā ar VZD veiktajiem aprēķiniem Valsts adrešu reģistra datu nodrošināšana sabiedrīb</w:t>
      </w:r>
      <w:r w:rsidR="005E007D">
        <w:rPr>
          <w:rFonts w:eastAsia="Calibri"/>
        </w:rPr>
        <w:t>a</w:t>
      </w:r>
      <w:r w:rsidR="00DD1E4E">
        <w:rPr>
          <w:rFonts w:eastAsia="Calibri"/>
        </w:rPr>
        <w:t>i bez maksas gadā radītu 53 </w:t>
      </w:r>
      <w:r w:rsidR="000122C5">
        <w:rPr>
          <w:rFonts w:eastAsia="Calibri"/>
        </w:rPr>
        <w:t>225</w:t>
      </w:r>
      <w:r w:rsidR="00DD1E4E">
        <w:rPr>
          <w:rFonts w:eastAsia="Calibri"/>
        </w:rPr>
        <w:t> </w:t>
      </w:r>
      <w:r w:rsidRPr="00DD1E4E">
        <w:rPr>
          <w:rFonts w:eastAsia="Calibri"/>
          <w:i/>
        </w:rPr>
        <w:t>euro</w:t>
      </w:r>
      <w:r w:rsidRPr="00ED5433">
        <w:rPr>
          <w:rFonts w:eastAsia="Calibri"/>
        </w:rPr>
        <w:t xml:space="preserve"> papildu slogu VZD budžetam, šo summu veido izdevumi par Valsts adrešu reģistra informācijas sistēmas pielāgošanu atvērto datu pieejamībai atbilstoši Latvijas Atvērto datu portāla tehniskajām prasībām un tās uzturēšanu lietotājiem pieejamā formā. </w:t>
      </w:r>
    </w:p>
    <w:p w:rsidR="00ED5433" w:rsidRPr="00ED5433" w:rsidP="00ED5433" w14:paraId="372CEFFE" w14:textId="6A6FB2D0">
      <w:pPr>
        <w:ind w:firstLine="709"/>
        <w:jc w:val="both"/>
        <w:rPr>
          <w:rFonts w:eastAsia="Calibri"/>
        </w:rPr>
      </w:pPr>
      <w:r w:rsidRPr="00ED5433">
        <w:rPr>
          <w:rFonts w:eastAsia="Calibri"/>
        </w:rPr>
        <w:t>Administratīvo robežu datu nodrošināšana sabiedrībai bez maksas VZD budžetam gadā radītu</w:t>
      </w:r>
      <w:r w:rsidR="00DD1E4E">
        <w:rPr>
          <w:rFonts w:eastAsia="Calibri"/>
        </w:rPr>
        <w:t xml:space="preserve"> papildus slogu 27 </w:t>
      </w:r>
      <w:r w:rsidR="000122C5">
        <w:rPr>
          <w:rFonts w:eastAsia="Calibri"/>
        </w:rPr>
        <w:t>289</w:t>
      </w:r>
      <w:r w:rsidR="00DD1E4E">
        <w:rPr>
          <w:rFonts w:eastAsia="Calibri"/>
        </w:rPr>
        <w:t> </w:t>
      </w:r>
      <w:r w:rsidRPr="00DD1E4E">
        <w:rPr>
          <w:rFonts w:eastAsia="Calibri"/>
          <w:i/>
        </w:rPr>
        <w:t>euro</w:t>
      </w:r>
      <w:r w:rsidRPr="00ED5433">
        <w:rPr>
          <w:rFonts w:eastAsia="Calibri"/>
        </w:rPr>
        <w:t xml:space="preserve"> apmērā. Šī summa ietver izmaksas par administratīvo robežu datu pielāgošanu atvērto datu pieejamībai atbilstoši Latvijas Atvērto datu portāla tehniskajām prasībām, kā arī datu uzturēšanai lietotājiem pieejamā formā.</w:t>
      </w:r>
    </w:p>
    <w:p w:rsidR="006A07CE" w:rsidP="00ED5433" w14:paraId="1C628B6C" w14:textId="50772A6B">
      <w:pPr>
        <w:ind w:firstLine="709"/>
        <w:jc w:val="both"/>
      </w:pPr>
      <w:r>
        <w:t xml:space="preserve">Konkrēto datu kopu nodrošināšana sabiedrībai bez maksas neparedz jaunu amatu vietu radīšanu VZD – attiecīgo speciālistu atalgojums šobrīd tiek segts no iestādes ienākumu daļas, līdz ar to, padarot datus pieejamus bez maksas, budžeta dotācijas ietvaros nepieciešams kompensēt arī attiecīgo speciālistu atalgojumu. </w:t>
      </w:r>
      <w:r w:rsidR="002C23E8">
        <w:t xml:space="preserve">Nosaukto datu kopu </w:t>
      </w:r>
      <w:r w:rsidR="00E3652E">
        <w:t>nodrošināšana</w:t>
      </w:r>
      <w:r w:rsidR="002C23E8">
        <w:t xml:space="preserve"> iedzīvotājie</w:t>
      </w:r>
      <w:r w:rsidR="00DD1E4E">
        <w:t>m bez maksas kopā radītu 80 514 </w:t>
      </w:r>
      <w:r w:rsidRPr="00DD1E4E" w:rsidR="002C23E8">
        <w:rPr>
          <w:i/>
        </w:rPr>
        <w:t>euro</w:t>
      </w:r>
      <w:r w:rsidR="002C23E8">
        <w:t xml:space="preserve"> lielu budžeta slogu</w:t>
      </w:r>
      <w:r w:rsidR="00E3652E">
        <w:t xml:space="preserve"> VZD. </w:t>
      </w:r>
      <w:r w:rsidR="000A6967">
        <w:t>Precīzāks</w:t>
      </w:r>
      <w:r>
        <w:t xml:space="preserve"> abu VZD datu kopu nodrošināšanas sabiedrībai bez maksas finanšu aprēķins pievienots </w:t>
      </w:r>
      <w:r w:rsidR="000A6967">
        <w:t xml:space="preserve">šā informatīvā ziņojuma </w:t>
      </w:r>
      <w:r>
        <w:t>pielikumā Nr.1.</w:t>
      </w:r>
      <w:r>
        <w:t xml:space="preserve"> </w:t>
      </w:r>
    </w:p>
    <w:p w:rsidR="001B7F3E" w:rsidP="00ED5433" w14:paraId="55639CC2" w14:textId="750951A8">
      <w:pPr>
        <w:ind w:firstLine="709"/>
        <w:jc w:val="both"/>
      </w:pPr>
      <w:r>
        <w:t xml:space="preserve">Pēc valsts dotācijas </w:t>
      </w:r>
      <w:r w:rsidR="00DC1B1F">
        <w:t>apstiprināšanas</w:t>
      </w:r>
      <w:r>
        <w:t xml:space="preserve"> VZD būtu nepieciešami seši mēneši saistīto normatīvo aktu grozīšanai (piemēram, Ministru kabineta 2015.</w:t>
      </w:r>
      <w:r w:rsidR="00DB4C0A">
        <w:t> </w:t>
      </w:r>
      <w:r>
        <w:t>gada 8.</w:t>
      </w:r>
      <w:r w:rsidR="00DB4C0A">
        <w:t> </w:t>
      </w:r>
      <w:r>
        <w:t>decembra noteikumi Nr.</w:t>
      </w:r>
      <w:r w:rsidR="00DB4C0A">
        <w:t> </w:t>
      </w:r>
      <w:r>
        <w:t xml:space="preserve">698 “Adresācijas noteikumi”) un datu kopu nodošanai </w:t>
      </w:r>
      <w:r w:rsidR="00A95865">
        <w:t>Latvijas A</w:t>
      </w:r>
      <w:r>
        <w:t>tvērto datu portālā.</w:t>
      </w:r>
    </w:p>
    <w:p w:rsidR="00B5423C" w:rsidP="00643103" w14:paraId="0046D13B" w14:textId="34FCFACE">
      <w:pPr>
        <w:ind w:firstLine="709"/>
        <w:jc w:val="both"/>
      </w:pPr>
      <w:r>
        <w:t xml:space="preserve">Atbilstoši LATA sniegtajiem skaidrojumiem, atverot Adrešu reģistra datu kopu, izmaksas par datu nodrošināšanu sabiedrībai bez maksas pastarpināti radīs lielāku finanšu pienesumu valsts budžetam. </w:t>
      </w:r>
      <w:r>
        <w:t>Piemēram</w:t>
      </w:r>
      <w:r w:rsidR="000A6967">
        <w:t>,</w:t>
      </w:r>
      <w:r>
        <w:t xml:space="preserve"> </w:t>
      </w:r>
      <w:r w:rsidR="000A6967">
        <w:t>ikvienam komersantam</w:t>
      </w:r>
      <w:r>
        <w:t xml:space="preserve">, kura pakalpojumu grozā ir </w:t>
      </w:r>
      <w:r w:rsidR="00501713">
        <w:t>pakalpojums, kas ietver</w:t>
      </w:r>
      <w:r>
        <w:t xml:space="preserve"> meklēšan</w:t>
      </w:r>
      <w:r w:rsidR="00501713">
        <w:t>u</w:t>
      </w:r>
      <w:r>
        <w:t xml:space="preserve"> pēc adresēm un/vai meklēšanas rezultātu attēlošan</w:t>
      </w:r>
      <w:r w:rsidR="00501713">
        <w:t>u</w:t>
      </w:r>
      <w:r>
        <w:t xml:space="preserve"> kartē, </w:t>
      </w:r>
      <w:r w:rsidR="000A6967">
        <w:t>ir nepieciešamība</w:t>
      </w:r>
      <w:r w:rsidR="00546210">
        <w:t xml:space="preserve"> pēc VZD pakalpojuma “Valsts adrešu reģistra datu replikācija galalietotājam un pakalpojumu sniedzējam”, k</w:t>
      </w:r>
      <w:r w:rsidR="000A6967">
        <w:t>ura cena ir</w:t>
      </w:r>
      <w:r w:rsidR="00546210">
        <w:t xml:space="preserve"> 860</w:t>
      </w:r>
      <w:r w:rsidR="000A6967">
        <w:t> </w:t>
      </w:r>
      <w:r w:rsidRPr="00830B65" w:rsidR="000A6967">
        <w:rPr>
          <w:i/>
        </w:rPr>
        <w:t>euro</w:t>
      </w:r>
      <w:r w:rsidR="00546210">
        <w:t xml:space="preserve"> mēnesī. Gadā šī pakalpojuma izmantošanas izmaksas </w:t>
      </w:r>
      <w:r w:rsidR="000A6967">
        <w:t>ir</w:t>
      </w:r>
      <w:r w:rsidR="00546210">
        <w:t xml:space="preserve"> 10</w:t>
      </w:r>
      <w:r w:rsidR="000A6967">
        <w:t> </w:t>
      </w:r>
      <w:r w:rsidR="00546210">
        <w:t>320</w:t>
      </w:r>
      <w:r w:rsidR="000A6967">
        <w:t> </w:t>
      </w:r>
      <w:r w:rsidRPr="00830B65" w:rsidR="000A6967">
        <w:rPr>
          <w:i/>
        </w:rPr>
        <w:t>euro</w:t>
      </w:r>
      <w:r w:rsidR="00546210">
        <w:t xml:space="preserve">. Pieņemot, ka vismaz 20 </w:t>
      </w:r>
      <w:r w:rsidR="000A6967">
        <w:t>komersanti</w:t>
      </w:r>
      <w:r w:rsidR="00546210">
        <w:t xml:space="preserve"> šo summu novirza darbinieku atalgojumam, tad no t</w:t>
      </w:r>
      <w:r w:rsidR="000A6967">
        <w:t>ās</w:t>
      </w:r>
      <w:r w:rsidR="00546210">
        <w:t xml:space="preserve"> valstij </w:t>
      </w:r>
      <w:r w:rsidR="000A6967">
        <w:t>ar</w:t>
      </w:r>
      <w:r w:rsidR="00546210">
        <w:t xml:space="preserve"> valsts sociālās apdrošināšanas obligāto iemaksām </w:t>
      </w:r>
      <w:r w:rsidR="000A6967">
        <w:t>rodas</w:t>
      </w:r>
      <w:r w:rsidR="00546210">
        <w:t xml:space="preserve"> 2847</w:t>
      </w:r>
      <w:r w:rsidR="000A6967">
        <w:t> </w:t>
      </w:r>
      <w:r w:rsidRPr="00830B65" w:rsidR="000A6967">
        <w:rPr>
          <w:i/>
        </w:rPr>
        <w:t>euro</w:t>
      </w:r>
      <w:r w:rsidR="000A6967">
        <w:t xml:space="preserve"> ieņēmumi</w:t>
      </w:r>
      <w:r w:rsidR="00546210">
        <w:t xml:space="preserve">. Reizinot </w:t>
      </w:r>
      <w:r w:rsidR="000A6967">
        <w:t>minēto summu</w:t>
      </w:r>
      <w:r w:rsidR="00546210">
        <w:t xml:space="preserve"> ar 20 </w:t>
      </w:r>
      <w:r w:rsidR="000A6967">
        <w:t>komersantu</w:t>
      </w:r>
      <w:r w:rsidR="00546210">
        <w:t xml:space="preserve"> skaitu valsts budžeta ieņēmumi </w:t>
      </w:r>
      <w:r w:rsidR="000A6967">
        <w:t>ir</w:t>
      </w:r>
      <w:r w:rsidR="00546210">
        <w:t xml:space="preserve"> 56</w:t>
      </w:r>
      <w:r w:rsidR="000A6967">
        <w:t> </w:t>
      </w:r>
      <w:r w:rsidR="00546210">
        <w:t>940</w:t>
      </w:r>
      <w:r w:rsidR="000A6967">
        <w:t> </w:t>
      </w:r>
      <w:r w:rsidRPr="00830B65" w:rsidR="000A6967">
        <w:rPr>
          <w:i/>
        </w:rPr>
        <w:t>euro</w:t>
      </w:r>
      <w:r w:rsidR="00546210">
        <w:t xml:space="preserve">, kas pārsniedz </w:t>
      </w:r>
      <w:r w:rsidR="00DD7113">
        <w:t>VZD aprēķinātās 53</w:t>
      </w:r>
      <w:r w:rsidR="000A6967">
        <w:t> </w:t>
      </w:r>
      <w:r w:rsidR="00DD7113">
        <w:t>225</w:t>
      </w:r>
      <w:r w:rsidR="000A6967">
        <w:t> </w:t>
      </w:r>
      <w:r w:rsidRPr="00830B65" w:rsidR="000A6967">
        <w:rPr>
          <w:i/>
        </w:rPr>
        <w:t>euro</w:t>
      </w:r>
      <w:r w:rsidR="00DD7113">
        <w:t xml:space="preserve"> izmaksas par </w:t>
      </w:r>
      <w:r w:rsidR="00830B65">
        <w:t>Valsts a</w:t>
      </w:r>
      <w:r w:rsidRPr="00A32893" w:rsidR="00830B65">
        <w:t>d</w:t>
      </w:r>
      <w:r w:rsidR="00830B65">
        <w:t xml:space="preserve">rešu reģistra datu </w:t>
      </w:r>
      <w:r w:rsidR="00DD7113">
        <w:t>nodrošināšanu sabiedrībai bez maksas.</w:t>
      </w:r>
    </w:p>
    <w:p w:rsidR="00901DFB" w:rsidP="00E03B67" w14:paraId="37D562B5" w14:textId="46623EF9">
      <w:pPr>
        <w:ind w:firstLine="709"/>
        <w:jc w:val="both"/>
        <w:rPr>
          <w:sz w:val="22"/>
          <w:szCs w:val="22"/>
        </w:rPr>
      </w:pPr>
      <w:r>
        <w:t>Saskaņā ar VZD s</w:t>
      </w:r>
      <w:r>
        <w:t xml:space="preserve">niegto informāciju datus no Valsts adrešu reģistra informācijas sistēmas (turpmāk - VARIS) regulāri saņem Latvijas gāze, Lattelecom, Rīgas ūdens, Latvijas Pasts, SIA Tele2, SIA LURSOFT IT, VAS Latvijas valsts radio un televīzijas centrs, Ergo Insurance SE, SIA Apdrošināšanas brokeris BALTO LINK, SIA Firmas.lv, SIA CREDITREFORM LATVIJĀ, AAS BALTA, SIA BALTCOM TV, SIA Latio, A/S Latvenergo, SIA Latvijas Mobilais Telefons, Latvijas valsts meži A/S, RP SIA “Rīgas satiksme”, SIA “Omniva”, MĒRNIECĪBAS DATU CENTRS. </w:t>
      </w:r>
    </w:p>
    <w:p w:rsidR="00901DFB" w:rsidP="00901DFB" w14:paraId="10387BEC" w14:textId="17D63AEA">
      <w:pPr>
        <w:ind w:firstLine="720"/>
        <w:jc w:val="both"/>
      </w:pPr>
      <w:r>
        <w:t>VARIS datus 2016. un 2017.</w:t>
      </w:r>
      <w:r w:rsidR="000A6967">
        <w:t> </w:t>
      </w:r>
      <w:r>
        <w:t xml:space="preserve">gadā neregulāri ir saņēmuši Latvijas propāna gāze SIA, BTA Baltic Insurance Company AS, Abonēšanas un piegādes centrs ACD SIA, If P&amp;C Insurance AS Latvijas filiāle, Ventspils Augsto tehnoloģiju parks, Seesam Insurance AS Latvijas filiāle, Firma L4 SIA, Vivus SIA, Velokurjers SIA, RD AB SIA, Itella Logistics SIA, Latvijas Vides, ģeoloģijas un meteoroloģijas centrs SIA, Ceļu inženieri SIA, Regio OU, Intelligent Systems SIA, Gjensidige AKF Latvijas filiāle, Maxima Latvija SIA, Compensa Life Vienna Insurance Group SE Latvijas filiāle, Karšu izdevniecība Jāņa Sēta SIA, Taipans SIA, Estonian, </w:t>
      </w:r>
      <w:r w:rsidR="000A6967">
        <w:t>L</w:t>
      </w:r>
      <w:r>
        <w:t xml:space="preserve">atvian and </w:t>
      </w:r>
      <w:r w:rsidR="000A6967">
        <w:t>L</w:t>
      </w:r>
      <w:r>
        <w:t xml:space="preserve">ithuanian </w:t>
      </w:r>
      <w:r w:rsidR="000A6967">
        <w:t>E</w:t>
      </w:r>
      <w:r>
        <w:t xml:space="preserve">nvironment SIA. </w:t>
      </w:r>
    </w:p>
    <w:p w:rsidR="00901DFB" w:rsidP="00901DFB" w14:paraId="61F6B724" w14:textId="11A1E17E">
      <w:pPr>
        <w:ind w:firstLine="709"/>
        <w:jc w:val="both"/>
      </w:pPr>
      <w:r>
        <w:t>Ņemot vērā minēto, jau šobrīd VARIS datus izmanto apdrošināšanas ko</w:t>
      </w:r>
      <w:r w:rsidR="000A6967">
        <w:t>mersanti</w:t>
      </w:r>
      <w:r>
        <w:t>, finanšu pakalpojumu sniegšanas kom</w:t>
      </w:r>
      <w:r w:rsidR="000A6967">
        <w:t>ersanti</w:t>
      </w:r>
      <w:r>
        <w:t xml:space="preserve">, komunikāciju </w:t>
      </w:r>
      <w:r w:rsidR="000A6967">
        <w:t xml:space="preserve">pakalpojumu sniegšanas </w:t>
      </w:r>
      <w:r>
        <w:t>kom</w:t>
      </w:r>
      <w:r w:rsidR="000A6967">
        <w:t>ersanti</w:t>
      </w:r>
      <w:r>
        <w:t xml:space="preserve">, preču un pakalpojumu piegādes </w:t>
      </w:r>
      <w:r w:rsidR="000A6967">
        <w:t>komersanti</w:t>
      </w:r>
      <w:r>
        <w:t>, nekustamo īpašumu apsaimniekotāji, mērnieki, kartogrāfi, apsardzes</w:t>
      </w:r>
      <w:r w:rsidR="000A6967">
        <w:t xml:space="preserve"> pakalpojumu sniegšan</w:t>
      </w:r>
      <w:r w:rsidR="00830B65">
        <w:t>a</w:t>
      </w:r>
      <w:r w:rsidR="000A6967">
        <w:t>s</w:t>
      </w:r>
      <w:r>
        <w:t xml:space="preserve"> kom</w:t>
      </w:r>
      <w:r w:rsidR="000A6967">
        <w:t>ersanti</w:t>
      </w:r>
      <w:r>
        <w:t xml:space="preserve"> un dažādu citu pakalpojumu sniedzēji. </w:t>
      </w:r>
    </w:p>
    <w:p w:rsidR="00235C96" w:rsidP="00901DFB" w14:paraId="50DCD8F0" w14:textId="6356AB38">
      <w:pPr>
        <w:ind w:firstLine="709"/>
        <w:jc w:val="both"/>
      </w:pPr>
      <w:r>
        <w:t xml:space="preserve">VARIS datu lietotāju skaits ar katru gadu palielinās, jo </w:t>
      </w:r>
      <w:r w:rsidR="00577D13">
        <w:t>komersanti</w:t>
      </w:r>
      <w:r>
        <w:t xml:space="preserve"> ir novērtējuši </w:t>
      </w:r>
      <w:r w:rsidR="00830B65">
        <w:t>Valsts a</w:t>
      </w:r>
      <w:r w:rsidRPr="00A32893" w:rsidR="00830B65">
        <w:t>d</w:t>
      </w:r>
      <w:r w:rsidR="00830B65">
        <w:t xml:space="preserve">rešu reģistra </w:t>
      </w:r>
      <w:r>
        <w:t>datu kvalitāti un, nododot šos datus sabiedrībai bez maksas</w:t>
      </w:r>
      <w:r w:rsidR="00577D13">
        <w:t>,</w:t>
      </w:r>
      <w:r>
        <w:t xml:space="preserve"> valsts budžeta ieņēmumi palielinātos. </w:t>
      </w:r>
    </w:p>
    <w:p w:rsidR="006A07CE" w:rsidP="00643103" w14:paraId="437B4881" w14:textId="77777777">
      <w:pPr>
        <w:ind w:firstLine="709"/>
        <w:jc w:val="both"/>
      </w:pPr>
    </w:p>
    <w:p w:rsidR="00E62A72" w:rsidP="00643103" w14:paraId="6B99441E" w14:textId="77777777">
      <w:pPr>
        <w:ind w:firstLine="709"/>
        <w:jc w:val="both"/>
      </w:pPr>
    </w:p>
    <w:p w:rsidR="00A32893" w:rsidRPr="00E62A72" w:rsidP="00E62A72" w14:paraId="71D72922" w14:textId="0DE862F0">
      <w:pPr>
        <w:pStyle w:val="ListParagraph"/>
        <w:numPr>
          <w:ilvl w:val="0"/>
          <w:numId w:val="10"/>
        </w:numPr>
        <w:jc w:val="both"/>
        <w:rPr>
          <w:b/>
        </w:rPr>
      </w:pPr>
      <w:r w:rsidRPr="00E62A72">
        <w:rPr>
          <w:b/>
        </w:rPr>
        <w:t xml:space="preserve">Latvijas </w:t>
      </w:r>
      <w:r w:rsidR="009A16E3">
        <w:rPr>
          <w:b/>
        </w:rPr>
        <w:t>Ģ</w:t>
      </w:r>
      <w:r w:rsidRPr="00E62A72">
        <w:rPr>
          <w:b/>
        </w:rPr>
        <w:t>eotelpiskās informācijas aģentūras datu nodrošināšana sabiedrībai bez maksas</w:t>
      </w:r>
    </w:p>
    <w:p w:rsidR="00E62A72" w:rsidP="00E62A72" w14:paraId="6651EF77" w14:textId="77777777">
      <w:pPr>
        <w:pStyle w:val="ListParagraph"/>
        <w:ind w:left="1069"/>
        <w:jc w:val="both"/>
      </w:pPr>
    </w:p>
    <w:p w:rsidR="00A32893" w:rsidRPr="000C26A7" w:rsidP="00643103" w14:paraId="705C9AA5" w14:textId="0B31DD6A">
      <w:pPr>
        <w:ind w:firstLine="709"/>
        <w:jc w:val="both"/>
      </w:pPr>
      <w:r w:rsidRPr="000C26A7">
        <w:t xml:space="preserve">Sanāksmē ar LĢIA tika panākta vienošanās par prioritāri atveramajām datu kopām un </w:t>
      </w:r>
      <w:r w:rsidR="009E5DE6">
        <w:t>veicamajiem grozījumiem</w:t>
      </w:r>
      <w:r w:rsidR="009A16E3">
        <w:t xml:space="preserve"> Ministru kabineta 2017.</w:t>
      </w:r>
      <w:r w:rsidR="009E5DE6">
        <w:t> </w:t>
      </w:r>
      <w:r w:rsidR="009A16E3">
        <w:t>gada 25.</w:t>
      </w:r>
      <w:r w:rsidR="009E5DE6">
        <w:t> </w:t>
      </w:r>
      <w:r w:rsidR="009A16E3">
        <w:t>jūlija noteikumos Nr.</w:t>
      </w:r>
      <w:r w:rsidR="009E5DE6">
        <w:t> </w:t>
      </w:r>
      <w:r w:rsidR="009A16E3">
        <w:t>421 “Latvijas Ģeotelpiskās informācijas aģentūras maksas pakalpojumu cenrādis un tā piemērošanas kārtība”</w:t>
      </w:r>
      <w:r w:rsidRPr="000C26A7">
        <w:t>. LĢIA pārstāvjiem nebija konceptuālu iebildumu par datu kopu atvēršanu un informācijas atjaunošanu bez maksas, ar no</w:t>
      </w:r>
      <w:r w:rsidR="009E5DE6">
        <w:t>sacījumu</w:t>
      </w:r>
      <w:r w:rsidRPr="000C26A7">
        <w:t>, ka finansējums datu kopu uzturēšanai LĢIA tiek piešķirts papildus no valsts budžeta, tādā veidā LĢIA kompensējot negūtos ieņēmumus.</w:t>
      </w:r>
    </w:p>
    <w:p w:rsidR="000C26A7" w:rsidP="000C26A7" w14:paraId="2BA593CB" w14:textId="20416A51">
      <w:pPr>
        <w:ind w:firstLine="709"/>
        <w:jc w:val="both"/>
      </w:pPr>
      <w:r w:rsidRPr="000C26A7">
        <w:t>LĢIA ir sagatavoj</w:t>
      </w:r>
      <w:r w:rsidRPr="000C26A7" w:rsidR="00C8433F">
        <w:t>usi finan</w:t>
      </w:r>
      <w:r w:rsidR="009E5DE6">
        <w:t>šu</w:t>
      </w:r>
      <w:r w:rsidRPr="000C26A7" w:rsidR="00C8433F">
        <w:t xml:space="preserve"> aprēķinus par </w:t>
      </w:r>
      <w:r w:rsidRPr="008504AD" w:rsidR="00C8433F">
        <w:t>sešu</w:t>
      </w:r>
      <w:r w:rsidRPr="000C26A7">
        <w:t xml:space="preserve"> datu kopu nodrošināšanu sabiedrībai bez maksas. </w:t>
      </w:r>
      <w:r>
        <w:t>LĢIA aprēķinus veica par</w:t>
      </w:r>
      <w:r w:rsidR="009E5DE6">
        <w:t>:</w:t>
      </w:r>
      <w:r>
        <w:t xml:space="preserve"> 1)</w:t>
      </w:r>
      <w:r w:rsidR="009E5DE6">
        <w:t> </w:t>
      </w:r>
      <w:r>
        <w:t>topogrāfisko karti mērogā 1:50</w:t>
      </w:r>
      <w:r w:rsidR="009E5DE6">
        <w:t> </w:t>
      </w:r>
      <w:r>
        <w:t>000 visas Latvijas teritorijai; 2)</w:t>
      </w:r>
      <w:r w:rsidR="009E5DE6">
        <w:t> </w:t>
      </w:r>
      <w:r>
        <w:t>Latvijas pārskata karti mērogā 1:250</w:t>
      </w:r>
      <w:r w:rsidR="009E5DE6">
        <w:t> </w:t>
      </w:r>
      <w:r>
        <w:t xml:space="preserve">000 visas Latvijas teritorijai; </w:t>
      </w:r>
      <w:r w:rsidR="00080D98">
        <w:br/>
      </w:r>
      <w:r>
        <w:t>3)</w:t>
      </w:r>
      <w:r w:rsidR="009E5DE6">
        <w:t> o</w:t>
      </w:r>
      <w:r>
        <w:t>rtofotokartēm krāsainā spektrā; 4)</w:t>
      </w:r>
      <w:r w:rsidR="009E5DE6">
        <w:t> </w:t>
      </w:r>
      <w:r>
        <w:t>digitālo reljefa modeli ar regulāro tīkla soli 20</w:t>
      </w:r>
      <w:r w:rsidR="009E5DE6">
        <w:t> </w:t>
      </w:r>
      <w:r>
        <w:t>m visai Latvijas teritorijai; 5)</w:t>
      </w:r>
      <w:r w:rsidR="009E5DE6">
        <w:t> </w:t>
      </w:r>
      <w:r>
        <w:t>vietvārdu datu bāzi; 6)</w:t>
      </w:r>
      <w:r w:rsidR="009E5DE6">
        <w:t> </w:t>
      </w:r>
      <w:r>
        <w:t xml:space="preserve">ģeodēziskā tīkla datu bāzi. </w:t>
      </w:r>
      <w:r w:rsidR="009E5DE6">
        <w:t>Precīzs</w:t>
      </w:r>
      <w:r w:rsidR="009A16E3">
        <w:t xml:space="preserve"> izmaksu aprēķins pievienots </w:t>
      </w:r>
      <w:r w:rsidR="009E5DE6">
        <w:t xml:space="preserve">šā </w:t>
      </w:r>
      <w:r w:rsidR="009A16E3">
        <w:t>informatīvā ziņojuma pielikumā Nr.</w:t>
      </w:r>
      <w:r w:rsidR="009E5DE6">
        <w:t> </w:t>
      </w:r>
      <w:r w:rsidR="009A16E3">
        <w:t>2.</w:t>
      </w:r>
      <w:r w:rsidR="009E5DE6">
        <w:t xml:space="preserve"> </w:t>
      </w:r>
      <w:r w:rsidR="00DC77E1">
        <w:t>D</w:t>
      </w:r>
      <w:r>
        <w:t xml:space="preserve">atu kopas tiktu atjauninātas vienu reizi </w:t>
      </w:r>
      <w:r w:rsidR="00CD3E8E">
        <w:t>pus</w:t>
      </w:r>
      <w:r>
        <w:t>gadā</w:t>
      </w:r>
      <w:r w:rsidR="00DC77E1">
        <w:t xml:space="preserve">, saskaņā ar </w:t>
      </w:r>
      <w:r w:rsidR="009E5DE6">
        <w:t>LĢIA</w:t>
      </w:r>
      <w:r w:rsidR="00DC77E1">
        <w:t xml:space="preserve"> ikgadējo darba plānu un pieejamo </w:t>
      </w:r>
      <w:r w:rsidR="00B30B64">
        <w:t>finansējumu</w:t>
      </w:r>
      <w:r w:rsidR="006515FF">
        <w:t>. Konkrēto datu kopu nodrošināšana sabiedrībai bez maksas neparedz jaunu amatu vietu radīšanu LĢIA – attiecīgo speciālistu atalgojums šobrīd tiek segts no iestādes ienākumu daļas, līdz ar to, padarot datus pieejamus bez maksas, budžeta dotācijas ietvaros nepieciešams kompensēt arī attiecīgo speciālistu atalgojumu.</w:t>
      </w:r>
    </w:p>
    <w:p w:rsidR="00E62A72" w:rsidP="00643103" w14:paraId="0A23A34C" w14:textId="174CABD4">
      <w:pPr>
        <w:ind w:firstLine="709"/>
        <w:jc w:val="both"/>
      </w:pPr>
      <w:r w:rsidRPr="000C26A7">
        <w:t xml:space="preserve">Saskaņā ar LĢIA veiktajiem aprēķiniem </w:t>
      </w:r>
      <w:r>
        <w:t>nosaukto sešu datu kopu nodrošināšana sabiedr</w:t>
      </w:r>
      <w:r w:rsidR="00682392">
        <w:t>ībai b</w:t>
      </w:r>
      <w:r w:rsidR="003E1FA4">
        <w:t>ez maksas iestādei izmaksātu 132 755</w:t>
      </w:r>
      <w:r w:rsidR="009E5DE6">
        <w:t> </w:t>
      </w:r>
      <w:r w:rsidRPr="00830B65" w:rsidR="009E5DE6">
        <w:rPr>
          <w:i/>
        </w:rPr>
        <w:t>euro</w:t>
      </w:r>
      <w:r w:rsidR="00682392">
        <w:t xml:space="preserve">. Šajā summā ietilpst atalgojums diviem ģeoinformātikas ekspertiem un pusslodze </w:t>
      </w:r>
      <w:r w:rsidR="009E5DE6">
        <w:t>informāciju tehnoloģiju</w:t>
      </w:r>
      <w:r w:rsidR="00682392">
        <w:t xml:space="preserve"> administratoram (kopā </w:t>
      </w:r>
      <w:r w:rsidR="003E1FA4">
        <w:br/>
        <w:t>47 278</w:t>
      </w:r>
      <w:r w:rsidR="009E5DE6">
        <w:t> </w:t>
      </w:r>
      <w:r w:rsidRPr="00830B65" w:rsidR="009E5DE6">
        <w:rPr>
          <w:i/>
        </w:rPr>
        <w:t>euro</w:t>
      </w:r>
      <w:r w:rsidR="00682392">
        <w:t xml:space="preserve">), preces un pakalpojumi (kopā </w:t>
      </w:r>
      <w:r w:rsidR="005E007D">
        <w:t>58 677</w:t>
      </w:r>
      <w:r w:rsidR="009E5DE6">
        <w:t> </w:t>
      </w:r>
      <w:r w:rsidRPr="00830B65" w:rsidR="009E5DE6">
        <w:rPr>
          <w:i/>
        </w:rPr>
        <w:t>euro</w:t>
      </w:r>
      <w:r w:rsidR="00682392">
        <w:t>), krājumi, materiāli, energoresursi, biroja preces un inventārs (kopā 3</w:t>
      </w:r>
      <w:r w:rsidR="009E5DE6">
        <w:t> </w:t>
      </w:r>
      <w:r w:rsidR="00682392">
        <w:t>562</w:t>
      </w:r>
      <w:r w:rsidR="009E5DE6">
        <w:t> </w:t>
      </w:r>
      <w:r w:rsidRPr="00830B65" w:rsidR="009E5DE6">
        <w:rPr>
          <w:i/>
        </w:rPr>
        <w:t>euro</w:t>
      </w:r>
      <w:r w:rsidR="00682392">
        <w:t>), kā arī kapitālie izdevumi (26</w:t>
      </w:r>
      <w:r w:rsidR="009E5DE6">
        <w:t> </w:t>
      </w:r>
      <w:r w:rsidR="00682392">
        <w:t>800</w:t>
      </w:r>
      <w:r w:rsidR="009E5DE6">
        <w:t> </w:t>
      </w:r>
      <w:r w:rsidRPr="00830B65" w:rsidR="009E5DE6">
        <w:rPr>
          <w:i/>
        </w:rPr>
        <w:t>euro</w:t>
      </w:r>
      <w:r w:rsidR="00682392">
        <w:t>).</w:t>
      </w:r>
      <w:r w:rsidR="006A07CE">
        <w:t xml:space="preserve"> </w:t>
      </w:r>
    </w:p>
    <w:p w:rsidR="00DC1B1F" w:rsidP="00DC1B1F" w14:paraId="1C642606" w14:textId="21F2D169">
      <w:pPr>
        <w:ind w:firstLine="709"/>
        <w:jc w:val="both"/>
      </w:pPr>
      <w:r>
        <w:t xml:space="preserve">Pēc valsts dotācijas apstiprināšanas LĢIA būtu nepieciešami seši mēneši saistīto normatīvo aktu grozīšanai (piemēram, Ministru kabineta 2017.gada 25.jūlija noteikumi Nr.421 “Latvijas Ģeotelpiskās informācijas aģentūras maksas pakalpojumu cenrādis un tā piemērošanas kārtība”) un datu kopu nodošanai </w:t>
      </w:r>
      <w:r w:rsidR="00A95865">
        <w:t>Latvijas A</w:t>
      </w:r>
      <w:r>
        <w:t>tvērto datu portālā.</w:t>
      </w:r>
    </w:p>
    <w:p w:rsidR="00080D98" w:rsidP="00643103" w14:paraId="143C5834" w14:textId="3398FED8">
      <w:pPr>
        <w:ind w:firstLine="709"/>
        <w:jc w:val="both"/>
      </w:pPr>
      <w:r>
        <w:t xml:space="preserve">Atbilstoši </w:t>
      </w:r>
      <w:r w:rsidR="002D6882">
        <w:t xml:space="preserve">biedrības “Latvijas ĢIS biedrība” veiktajiem aprēķiniem šo datu kopu atvēršana </w:t>
      </w:r>
      <w:r w:rsidR="009E5DE6">
        <w:t>akciju sabiedrības</w:t>
      </w:r>
      <w:r w:rsidR="006108D4">
        <w:t xml:space="preserve"> </w:t>
      </w:r>
      <w:r w:rsidR="002D6882">
        <w:t>“Latvijas valsts meži” (turpmāk – LVM) savu biznesa procesu atbalstam katru gadu iegādājas produktus un pakalpojumus no LĢIA. Par visiem no LĢIA saņemtajiem produktiem un pakalpojumiem LVM 2016.</w:t>
      </w:r>
      <w:r w:rsidR="009E5DE6">
        <w:t> </w:t>
      </w:r>
      <w:r w:rsidR="002D6882">
        <w:t>gadā ir pārskaitījis aptuveni 36</w:t>
      </w:r>
      <w:r w:rsidR="009E5DE6">
        <w:t> </w:t>
      </w:r>
      <w:r w:rsidR="002D6882">
        <w:t>000</w:t>
      </w:r>
      <w:r w:rsidR="009E5DE6">
        <w:t> </w:t>
      </w:r>
      <w:r w:rsidRPr="00830B65" w:rsidR="009E5DE6">
        <w:rPr>
          <w:i/>
        </w:rPr>
        <w:t>euro</w:t>
      </w:r>
      <w:r w:rsidR="002D6882">
        <w:t>, savukārt 2017.</w:t>
      </w:r>
      <w:r w:rsidR="009E5DE6">
        <w:t> </w:t>
      </w:r>
      <w:r w:rsidR="002D6882">
        <w:t>gada pirmajos astoņos mēnešos aptuveni 30</w:t>
      </w:r>
      <w:r w:rsidR="009E5DE6">
        <w:t> </w:t>
      </w:r>
      <w:r w:rsidR="002D6882">
        <w:t>000</w:t>
      </w:r>
      <w:r w:rsidR="009E5DE6">
        <w:t> </w:t>
      </w:r>
      <w:r w:rsidRPr="00830B65" w:rsidR="009E5DE6">
        <w:rPr>
          <w:i/>
        </w:rPr>
        <w:t>euro</w:t>
      </w:r>
      <w:r w:rsidR="002D6882">
        <w:t xml:space="preserve">. Ja no LĢIA iegādātie produkti un pakalpojumi tiktu padarīti atvērti un brīvi pieejami, šīs summas katru gadu tiktu dividenžu veidā ieskaitītas </w:t>
      </w:r>
      <w:bookmarkStart w:id="0" w:name="_GoBack"/>
      <w:bookmarkEnd w:id="0"/>
      <w:r w:rsidR="002D6882">
        <w:t>valsts budžetā.</w:t>
      </w:r>
    </w:p>
    <w:p w:rsidR="002D6882" w:rsidP="00643103" w14:paraId="6A108234" w14:textId="549B3259">
      <w:pPr>
        <w:ind w:firstLine="709"/>
        <w:jc w:val="both"/>
      </w:pPr>
      <w:r>
        <w:t>Papildus LVM aprēķini liecina, ka, ja tiktu pieņemts lēmums par šobrīd atvēršanai piedāvāto produktu un pakalpojumu atvēršanu</w:t>
      </w:r>
      <w:r w:rsidR="00D6381D">
        <w:t>, tas jau 2017.</w:t>
      </w:r>
      <w:r w:rsidR="009E5DE6">
        <w:t> </w:t>
      </w:r>
      <w:r w:rsidR="00D6381D">
        <w:t>gadā radītu ietaupījumu LVM ģeotelpisko informācijas tehnoloģiju (turpmāk – ĢIT) klientiem aptuveni 8</w:t>
      </w:r>
      <w:r w:rsidR="009E5DE6">
        <w:t> </w:t>
      </w:r>
      <w:r w:rsidR="00D6381D">
        <w:t>000</w:t>
      </w:r>
      <w:r w:rsidR="009E5DE6">
        <w:t> </w:t>
      </w:r>
      <w:r w:rsidRPr="00830B65" w:rsidR="009E5DE6">
        <w:rPr>
          <w:i/>
        </w:rPr>
        <w:t>euro</w:t>
      </w:r>
      <w:r w:rsidR="00D6381D">
        <w:t xml:space="preserve"> apmērā, jo par aptuveni šādu summu lētāki kļūtu LVM piedāvātie ĢIT produkti, kuros tiek iekļauti no LĢIA radītajiem datiem izstrādātie servisi.</w:t>
      </w:r>
    </w:p>
    <w:p w:rsidR="0020272A" w:rsidP="00147B64" w14:paraId="165FF164" w14:textId="1C0EC6CB">
      <w:pPr>
        <w:ind w:firstLine="709"/>
        <w:jc w:val="both"/>
      </w:pPr>
      <w:r>
        <w:t xml:space="preserve">SIA “Karšu izdevniecība Jāņa Sēta” (turpmāk – KIJS) aprēķini liecina, ka KIJS valsts budžetam nodokļu veidā gadā varētu ienest papildus </w:t>
      </w:r>
      <w:r w:rsidR="00DD1E4E">
        <w:t>48 843 </w:t>
      </w:r>
      <w:r w:rsidRPr="00DD1E4E" w:rsidR="0026189C">
        <w:rPr>
          <w:i/>
        </w:rPr>
        <w:t>euro</w:t>
      </w:r>
      <w:r>
        <w:t>, ja tiktu atvērtas LĢIA ģeotelpisko datu pamatkopas (KIJ</w:t>
      </w:r>
      <w:r w:rsidR="009E5DE6">
        <w:t>S</w:t>
      </w:r>
      <w:r>
        <w:t xml:space="preserve"> aprēķinu skatīt </w:t>
      </w:r>
      <w:r w:rsidR="009E5DE6">
        <w:t>šā informatīvā ziņojuma pielikumā Nr. </w:t>
      </w:r>
      <w:r>
        <w:t>3).</w:t>
      </w:r>
      <w:r w:rsidR="00147B64">
        <w:t xml:space="preserve"> </w:t>
      </w:r>
      <w:r>
        <w:t>Arī SIA “Mērniecības datu centrs” prognozē, ka tiks radītas vismaz divas jaunas darba vietas, kas valsts budžetā nodokļu veidā ienesīs papildus apmēram 19</w:t>
      </w:r>
      <w:r w:rsidR="009E5DE6">
        <w:t> </w:t>
      </w:r>
      <w:r>
        <w:t>000</w:t>
      </w:r>
      <w:r w:rsidR="009E5DE6">
        <w:t> </w:t>
      </w:r>
      <w:r w:rsidRPr="00830B65" w:rsidR="009E5DE6">
        <w:rPr>
          <w:i/>
        </w:rPr>
        <w:t>euro</w:t>
      </w:r>
      <w:r>
        <w:t>.</w:t>
      </w:r>
      <w:r w:rsidR="0026189C">
        <w:t xml:space="preserve"> Ja datu kopas tiktu atvērtas 2018.</w:t>
      </w:r>
      <w:r w:rsidR="00DB4C0A">
        <w:t> </w:t>
      </w:r>
      <w:r w:rsidR="0026189C">
        <w:t>gadā, tad budžeta papildus ieņēmumi būtu daļa no prognozētā, bet jau 2019.</w:t>
      </w:r>
      <w:r w:rsidR="00DB4C0A">
        <w:t> </w:t>
      </w:r>
      <w:r w:rsidR="0026189C">
        <w:t>gadā ieņēmumi būtu KIJS un SIA “Mērniecības datu centrs” veikto aprēķinu apmērā.</w:t>
      </w:r>
    </w:p>
    <w:p w:rsidR="00147B64" w:rsidP="00147B64" w14:paraId="79BC3D66" w14:textId="52CA0813">
      <w:pPr>
        <w:ind w:firstLine="709"/>
        <w:jc w:val="both"/>
      </w:pPr>
      <w:r>
        <w:t>Datu atvēršana samazinātu uzņ</w:t>
      </w:r>
      <w:r w:rsidR="0020272A">
        <w:t xml:space="preserve">ēmumu </w:t>
      </w:r>
      <w:r w:rsidR="000E7A45">
        <w:t xml:space="preserve">administratīvo </w:t>
      </w:r>
      <w:r w:rsidR="0020272A">
        <w:t>slogu, paātrinātu pakalpojumu sniegšanu klientiem, radītu plašākas pieejamības produktus un servisus, izmantojot LĢIA datus kā fona materiālu. Pieejamie dati arī uzlabotu tīmekļa pakalpju pārdošanas apmērus un pieaugtu ģeogrāfisko informācijas sistēmu izstrādes apgrozījums.</w:t>
      </w:r>
    </w:p>
    <w:p w:rsidR="0020272A" w:rsidRPr="000C26A7" w:rsidP="00147B64" w14:paraId="458C7B79" w14:textId="77777777">
      <w:pPr>
        <w:ind w:firstLine="709"/>
        <w:jc w:val="both"/>
      </w:pPr>
    </w:p>
    <w:p w:rsidR="00E62A72" w:rsidRPr="006F004E" w:rsidP="00FC02E1" w14:paraId="3969AFE4" w14:textId="77777777">
      <w:pPr>
        <w:pStyle w:val="ListParagraph"/>
        <w:numPr>
          <w:ilvl w:val="0"/>
          <w:numId w:val="10"/>
        </w:numPr>
        <w:jc w:val="both"/>
        <w:rPr>
          <w:b/>
        </w:rPr>
      </w:pPr>
      <w:r w:rsidRPr="006F004E">
        <w:rPr>
          <w:b/>
        </w:rPr>
        <w:t>Turpmākā rīcība</w:t>
      </w:r>
    </w:p>
    <w:p w:rsidR="00FC02E1" w:rsidP="00FC02E1" w14:paraId="268D9CFD" w14:textId="77777777">
      <w:pPr>
        <w:jc w:val="both"/>
      </w:pPr>
    </w:p>
    <w:p w:rsidR="00F26FEB" w:rsidP="00FC02E1" w14:paraId="21CC639D" w14:textId="77777777">
      <w:pPr>
        <w:ind w:firstLine="709"/>
        <w:jc w:val="both"/>
      </w:pPr>
      <w:r>
        <w:t xml:space="preserve">Latvijas atvērto datu politika un datu kopu pieejamība tiek izvērtēta vairākos starptautiskos pētījumos – </w:t>
      </w:r>
      <w:r>
        <w:t>G</w:t>
      </w:r>
      <w:r w:rsidR="0080538A">
        <w:t>lobālajā atvērto datu indeksā (</w:t>
      </w:r>
      <w:r w:rsidRPr="0080538A">
        <w:rPr>
          <w:i/>
        </w:rPr>
        <w:t>Global Open Data index</w:t>
      </w:r>
      <w:r w:rsidR="0080538A">
        <w:t>)</w:t>
      </w:r>
      <w:r>
        <w:t xml:space="preserve">, </w:t>
      </w:r>
      <w:r w:rsidR="0080538A">
        <w:t>Ekonomiskās sadarbības un attīstības organizācijas (</w:t>
      </w:r>
      <w:r w:rsidRPr="0080538A">
        <w:rPr>
          <w:i/>
        </w:rPr>
        <w:t>OECD</w:t>
      </w:r>
      <w:r w:rsidR="0080538A">
        <w:t>) veiktajos pētījumos</w:t>
      </w:r>
      <w:r>
        <w:t>,</w:t>
      </w:r>
      <w:r w:rsidR="0080538A">
        <w:t xml:space="preserve"> Atvērto datu barometrā</w:t>
      </w:r>
      <w:r>
        <w:t xml:space="preserve"> </w:t>
      </w:r>
      <w:r w:rsidR="0080538A">
        <w:t>(</w:t>
      </w:r>
      <w:r w:rsidRPr="0080538A">
        <w:rPr>
          <w:i/>
        </w:rPr>
        <w:t>The Open Data Barometer</w:t>
      </w:r>
      <w:r w:rsidR="0080538A">
        <w:t>), Eiropas datu portāl</w:t>
      </w:r>
      <w:r>
        <w:t>a</w:t>
      </w:r>
      <w:r w:rsidR="0080538A">
        <w:t xml:space="preserve"> (</w:t>
      </w:r>
      <w:r w:rsidRPr="0080538A" w:rsidR="0080538A">
        <w:rPr>
          <w:i/>
        </w:rPr>
        <w:t>European data portal</w:t>
      </w:r>
      <w:r>
        <w:rPr>
          <w:i/>
        </w:rPr>
        <w:t>)</w:t>
      </w:r>
      <w:r w:rsidR="00C51B6E">
        <w:rPr>
          <w:i/>
        </w:rPr>
        <w:t xml:space="preserve"> </w:t>
      </w:r>
      <w:r>
        <w:t>vidējais publiskā sektora atkalizmantošanas indeksā</w:t>
      </w:r>
      <w:r w:rsidR="0080538A">
        <w:t>.</w:t>
      </w:r>
    </w:p>
    <w:p w:rsidR="00FC02E1" w:rsidRPr="00095994" w:rsidP="00FC02E1" w14:paraId="39163F60" w14:textId="29B56C0B">
      <w:pPr>
        <w:ind w:firstLine="709"/>
        <w:jc w:val="both"/>
      </w:pPr>
      <w:r w:rsidRPr="00095994">
        <w:t>Iepazīstoties ar nosaukto pētījumu mērītajām datu kopām, kuru atvēršana dotu nozīmīgus ieguvumus sabiedrībai</w:t>
      </w:r>
      <w:r w:rsidR="00126AFF">
        <w:t>,</w:t>
      </w:r>
      <w:r w:rsidRPr="00095994" w:rsidR="00095994">
        <w:t xml:space="preserve"> VARAM ir identificēj</w:t>
      </w:r>
      <w:r w:rsidR="00126AFF">
        <w:t>usi</w:t>
      </w:r>
      <w:r w:rsidRPr="00095994" w:rsidR="00095994">
        <w:t xml:space="preserve"> primāri atveramās datu kopas</w:t>
      </w:r>
      <w:r w:rsidR="00095994">
        <w:t>, kuras publicētu Valsts atvērto datu portālā www.data.gov.lv</w:t>
      </w:r>
      <w:r w:rsidRPr="00095994" w:rsidR="00095994">
        <w:t xml:space="preserve">: </w:t>
      </w:r>
    </w:p>
    <w:p w:rsidR="00095994" w:rsidRPr="00095994" w:rsidP="00095994" w14:paraId="258A0857" w14:textId="77777777">
      <w:pPr>
        <w:pStyle w:val="ListParagraph"/>
        <w:numPr>
          <w:ilvl w:val="0"/>
          <w:numId w:val="11"/>
        </w:numPr>
        <w:suppressAutoHyphens w:val="0"/>
        <w:spacing w:line="252" w:lineRule="auto"/>
        <w:contextualSpacing/>
        <w:rPr>
          <w:sz w:val="22"/>
          <w:szCs w:val="22"/>
        </w:rPr>
      </w:pPr>
      <w:r>
        <w:t>V</w:t>
      </w:r>
      <w:r w:rsidR="006F004E">
        <w:t>alsts budžets</w:t>
      </w:r>
      <w:r>
        <w:t>;</w:t>
      </w:r>
    </w:p>
    <w:p w:rsidR="00095994" w:rsidRPr="00095994" w:rsidP="00095994" w14:paraId="3B6EA981" w14:textId="77777777">
      <w:pPr>
        <w:pStyle w:val="ListParagraph"/>
        <w:numPr>
          <w:ilvl w:val="0"/>
          <w:numId w:val="11"/>
        </w:numPr>
        <w:suppressAutoHyphens w:val="0"/>
        <w:spacing w:line="252" w:lineRule="auto"/>
        <w:contextualSpacing/>
      </w:pPr>
      <w:r w:rsidRPr="00095994">
        <w:t>Gaisa kvalitāte</w:t>
      </w:r>
      <w:r>
        <w:t>;</w:t>
      </w:r>
    </w:p>
    <w:p w:rsidR="00095994" w:rsidRPr="00095994" w:rsidP="00095994" w14:paraId="1F6980AC" w14:textId="77777777">
      <w:pPr>
        <w:pStyle w:val="ListParagraph"/>
        <w:numPr>
          <w:ilvl w:val="0"/>
          <w:numId w:val="11"/>
        </w:numPr>
        <w:suppressAutoHyphens w:val="0"/>
        <w:spacing w:line="252" w:lineRule="auto"/>
        <w:contextualSpacing/>
      </w:pPr>
      <w:r w:rsidRPr="00095994">
        <w:t>Laika ziņas (vismaz 3 dienām)</w:t>
      </w:r>
      <w:r>
        <w:t>;</w:t>
      </w:r>
    </w:p>
    <w:p w:rsidR="00095994" w:rsidRPr="00095994" w:rsidP="00095994" w14:paraId="2D7A12EA" w14:textId="77777777">
      <w:pPr>
        <w:pStyle w:val="ListParagraph"/>
        <w:numPr>
          <w:ilvl w:val="0"/>
          <w:numId w:val="11"/>
        </w:numPr>
        <w:suppressAutoHyphens w:val="0"/>
        <w:spacing w:line="252" w:lineRule="auto"/>
        <w:contextualSpacing/>
      </w:pPr>
      <w:r w:rsidRPr="00095994">
        <w:t>Pasta indeks</w:t>
      </w:r>
      <w:r>
        <w:t>i</w:t>
      </w:r>
      <w:r w:rsidRPr="00095994">
        <w:t xml:space="preserve"> un to apgabali (pasta indeksi un to koordinātas)</w:t>
      </w:r>
      <w:r>
        <w:t>;</w:t>
      </w:r>
    </w:p>
    <w:p w:rsidR="00095994" w:rsidRPr="00095994" w:rsidP="00095994" w14:paraId="3F3458F9" w14:textId="77777777">
      <w:pPr>
        <w:pStyle w:val="ListParagraph"/>
        <w:numPr>
          <w:ilvl w:val="0"/>
          <w:numId w:val="11"/>
        </w:numPr>
        <w:suppressAutoHyphens w:val="0"/>
        <w:spacing w:line="252" w:lineRule="auto"/>
        <w:contextualSpacing/>
      </w:pPr>
      <w:r w:rsidRPr="00095994">
        <w:t>Ūdens kvalitāte</w:t>
      </w:r>
      <w:r>
        <w:t>;</w:t>
      </w:r>
    </w:p>
    <w:p w:rsidR="00095994" w:rsidRPr="00095994" w:rsidP="00095994" w14:paraId="56462A9D" w14:textId="77777777">
      <w:pPr>
        <w:pStyle w:val="ListParagraph"/>
        <w:numPr>
          <w:ilvl w:val="0"/>
          <w:numId w:val="11"/>
        </w:numPr>
        <w:suppressAutoHyphens w:val="0"/>
        <w:spacing w:line="252" w:lineRule="auto"/>
        <w:contextualSpacing/>
      </w:pPr>
      <w:r w:rsidRPr="00095994">
        <w:t>Valsts pārva</w:t>
      </w:r>
      <w:r>
        <w:t>l</w:t>
      </w:r>
      <w:r w:rsidRPr="00095994">
        <w:t xml:space="preserve">des </w:t>
      </w:r>
      <w:r>
        <w:t xml:space="preserve">tiešie </w:t>
      </w:r>
      <w:r w:rsidRPr="00095994">
        <w:t>izdevumi (algas, rēķini un maksājumi)</w:t>
      </w:r>
      <w:r>
        <w:t>;</w:t>
      </w:r>
    </w:p>
    <w:p w:rsidR="00095994" w:rsidRPr="00095994" w:rsidP="00095994" w14:paraId="5CDDA0ED" w14:textId="77777777">
      <w:pPr>
        <w:pStyle w:val="ListParagraph"/>
        <w:numPr>
          <w:ilvl w:val="0"/>
          <w:numId w:val="11"/>
        </w:numPr>
        <w:suppressAutoHyphens w:val="0"/>
        <w:spacing w:line="252" w:lineRule="auto"/>
        <w:contextualSpacing/>
      </w:pPr>
      <w:r w:rsidRPr="00095994">
        <w:t>Sabiedriskā transporta saraksti</w:t>
      </w:r>
      <w:r>
        <w:t>;</w:t>
      </w:r>
    </w:p>
    <w:p w:rsidR="00095994" w:rsidRPr="00095994" w:rsidP="00095994" w14:paraId="3D738069" w14:textId="77777777">
      <w:pPr>
        <w:pStyle w:val="ListParagraph"/>
        <w:numPr>
          <w:ilvl w:val="0"/>
          <w:numId w:val="11"/>
        </w:numPr>
        <w:suppressAutoHyphens w:val="0"/>
        <w:spacing w:line="252" w:lineRule="auto"/>
        <w:contextualSpacing/>
      </w:pPr>
      <w:r w:rsidRPr="00095994">
        <w:t>Vēlēšanu rezultāti</w:t>
      </w:r>
      <w:r>
        <w:t>;</w:t>
      </w:r>
    </w:p>
    <w:p w:rsidR="006449FF" w:rsidP="006449FF" w14:paraId="13120D98" w14:textId="77777777">
      <w:pPr>
        <w:pStyle w:val="ListParagraph"/>
        <w:numPr>
          <w:ilvl w:val="0"/>
          <w:numId w:val="11"/>
        </w:numPr>
        <w:suppressAutoHyphens w:val="0"/>
        <w:spacing w:line="252" w:lineRule="auto"/>
        <w:contextualSpacing/>
      </w:pPr>
      <w:r w:rsidRPr="00095994">
        <w:t>Noziegumu karte</w:t>
      </w:r>
      <w:r>
        <w:t>;</w:t>
      </w:r>
    </w:p>
    <w:p w:rsidR="00095994" w:rsidRPr="006449FF" w:rsidP="006449FF" w14:paraId="36A044B4" w14:textId="77777777">
      <w:pPr>
        <w:pStyle w:val="ListParagraph"/>
        <w:numPr>
          <w:ilvl w:val="0"/>
          <w:numId w:val="11"/>
        </w:numPr>
        <w:suppressAutoHyphens w:val="0"/>
        <w:spacing w:line="252" w:lineRule="auto"/>
        <w:contextualSpacing/>
      </w:pPr>
      <w:r w:rsidRPr="006449FF">
        <w:t>Veselības jomas informācija (zāles, zāļu cenas, recepšu medikamenti, anonimizēti dati par sabiedrības veselību)</w:t>
      </w:r>
      <w:r>
        <w:t>.</w:t>
      </w:r>
    </w:p>
    <w:p w:rsidR="00643103" w:rsidP="00643103" w14:paraId="3D7887FB" w14:textId="77777777">
      <w:pPr>
        <w:ind w:firstLine="709"/>
        <w:jc w:val="both"/>
      </w:pPr>
    </w:p>
    <w:p w:rsidR="00A32893" w:rsidP="005C0387" w14:paraId="540572D0" w14:textId="77777777">
      <w:pPr>
        <w:ind w:firstLine="709"/>
        <w:jc w:val="both"/>
      </w:pPr>
    </w:p>
    <w:p w:rsidR="00E62A72" w:rsidP="005C0387" w14:paraId="70126C1A" w14:textId="77777777">
      <w:pPr>
        <w:ind w:firstLine="709"/>
        <w:jc w:val="both"/>
      </w:pPr>
    </w:p>
    <w:p w:rsidR="00921733" w:rsidP="00664A8B" w14:paraId="0DCA19C9" w14:textId="77777777">
      <w:pPr>
        <w:tabs>
          <w:tab w:val="left" w:pos="993"/>
          <w:tab w:val="left" w:pos="1276"/>
        </w:tabs>
        <w:spacing w:before="120"/>
        <w:jc w:val="both"/>
        <w:rPr>
          <w:highlight w:val="green"/>
        </w:rPr>
      </w:pPr>
    </w:p>
    <w:p w:rsidR="00EA2678" w:rsidRPr="00664A8B" w:rsidP="00664A8B" w14:paraId="1D4BDCB5" w14:textId="77777777">
      <w:pPr>
        <w:jc w:val="both"/>
        <w:rPr>
          <w:highlight w:val="yellow"/>
        </w:rPr>
      </w:pPr>
    </w:p>
    <w:p w:rsidR="00E62A72" w:rsidRPr="00607709" w:rsidP="00E62A72" w14:paraId="025ED770" w14:textId="77777777">
      <w:pPr>
        <w:jc w:val="both"/>
      </w:pPr>
      <w:r w:rsidRPr="00607709">
        <w:t>Vides aizsardzības un reģionālās</w:t>
      </w:r>
    </w:p>
    <w:p w:rsidR="00E62A72" w:rsidRPr="00607709" w:rsidP="00E62A72" w14:paraId="0B7B8256" w14:textId="7D5467CB">
      <w:pPr>
        <w:jc w:val="both"/>
      </w:pPr>
      <w:r>
        <w:t>attīstības ministrs</w:t>
      </w:r>
      <w:r>
        <w:tab/>
      </w:r>
      <w:r>
        <w:tab/>
      </w:r>
      <w:r>
        <w:tab/>
      </w:r>
      <w:r>
        <w:tab/>
      </w:r>
      <w:r>
        <w:tab/>
      </w:r>
      <w:r>
        <w:tab/>
      </w:r>
      <w:r>
        <w:tab/>
        <w:t xml:space="preserve">Kaspars </w:t>
      </w:r>
      <w:r w:rsidRPr="00607709">
        <w:t>Gerhards</w:t>
      </w:r>
    </w:p>
    <w:p w:rsidR="00E62A72" w:rsidRPr="00607709" w:rsidP="00E62A72" w14:paraId="1C43DBE3" w14:textId="77777777">
      <w:pPr>
        <w:jc w:val="both"/>
      </w:pPr>
    </w:p>
    <w:p w:rsidR="007149D4" w:rsidP="00E62A72" w14:paraId="3D2DF84B" w14:textId="77777777">
      <w:pPr>
        <w:jc w:val="both"/>
      </w:pPr>
    </w:p>
    <w:p w:rsidR="007149D4" w:rsidP="00E62A72" w14:paraId="279B2ABE" w14:textId="77777777">
      <w:pPr>
        <w:jc w:val="both"/>
      </w:pPr>
    </w:p>
    <w:p w:rsidR="007149D4" w:rsidP="00E62A72" w14:paraId="06C3782B" w14:textId="77777777">
      <w:pPr>
        <w:jc w:val="both"/>
      </w:pPr>
    </w:p>
    <w:p w:rsidR="007149D4" w:rsidP="00E62A72" w14:paraId="13E5C57E" w14:textId="77777777">
      <w:pPr>
        <w:jc w:val="both"/>
      </w:pPr>
    </w:p>
    <w:p w:rsidR="007149D4" w:rsidRPr="007F5012" w:rsidP="007149D4" w14:paraId="70D62B44" w14:textId="70FF5A7B">
      <w:pPr>
        <w:jc w:val="both"/>
        <w:rPr>
          <w:sz w:val="18"/>
        </w:rPr>
      </w:pPr>
      <w:r>
        <w:rPr>
          <w:sz w:val="18"/>
        </w:rPr>
        <w:t>Jēkabsons</w:t>
      </w:r>
      <w:r w:rsidRPr="007F5012">
        <w:rPr>
          <w:sz w:val="18"/>
        </w:rPr>
        <w:t xml:space="preserve"> 66016754</w:t>
      </w:r>
    </w:p>
    <w:p w:rsidR="007149D4" w:rsidRPr="007F5012" w:rsidP="007149D4" w14:paraId="6346CE41" w14:textId="77777777">
      <w:pPr>
        <w:jc w:val="both"/>
        <w:rPr>
          <w:sz w:val="16"/>
        </w:rPr>
      </w:pPr>
      <w:r>
        <w:fldChar w:fldCharType="begin"/>
      </w:r>
      <w:r>
        <w:instrText xml:space="preserve"> HYPERLINK "mailto:Mikus.Jekabsons@varam.gov.lv" </w:instrText>
      </w:r>
      <w:r>
        <w:fldChar w:fldCharType="separate"/>
      </w:r>
      <w:r w:rsidRPr="007F5012">
        <w:rPr>
          <w:rStyle w:val="Hyperlink"/>
          <w:sz w:val="18"/>
        </w:rPr>
        <w:t>Mikus.Jekabsons@varam.gov.lv</w:t>
      </w:r>
      <w:r>
        <w:fldChar w:fldCharType="end"/>
      </w:r>
      <w:r w:rsidRPr="007F5012">
        <w:rPr>
          <w:sz w:val="20"/>
          <w:szCs w:val="20"/>
        </w:rPr>
        <w:t xml:space="preserve"> </w:t>
      </w:r>
    </w:p>
    <w:p w:rsidR="006A3A5D" w:rsidRPr="002E047C" w:rsidP="00E46193" w14:paraId="2E638BE0" w14:textId="77777777">
      <w:pPr>
        <w:ind w:left="1134" w:hanging="777"/>
        <w:jc w:val="both"/>
        <w:rPr>
          <w:sz w:val="28"/>
          <w:szCs w:val="28"/>
        </w:rPr>
      </w:pPr>
    </w:p>
    <w:sectPr w:rsidSect="00D9370B">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568" w:footer="34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375" w14:paraId="732DF5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375" w:rsidRPr="001F0D12" w:rsidP="002256CF" w14:paraId="7B16E669" w14:textId="1B321EA9">
    <w:pPr>
      <w:jc w:val="both"/>
      <w:rPr>
        <w:sz w:val="20"/>
        <w:szCs w:val="20"/>
      </w:rPr>
    </w:pPr>
    <w:r>
      <w:fldChar w:fldCharType="begin"/>
    </w:r>
    <w:r>
      <w:instrText xml:space="preserve"> FILENAME   \* MERGEFORMAT </w:instrText>
    </w:r>
    <w:r>
      <w:fldChar w:fldCharType="separate"/>
    </w:r>
    <w:r w:rsidRPr="00D744BA">
      <w:rPr>
        <w:noProof/>
        <w:sz w:val="20"/>
        <w:szCs w:val="20"/>
      </w:rPr>
      <w:fldChar w:fldCharType="end"/>
    </w:r>
    <w:r>
      <w:rPr>
        <w:noProof/>
        <w:sz w:val="20"/>
        <w:szCs w:val="20"/>
      </w:rPr>
      <w:t>dati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375" w:rsidRPr="00664A8B" w:rsidP="00664A8B" w14:paraId="5BA8F334" w14:textId="3DDE703F">
    <w:pPr>
      <w:jc w:val="both"/>
      <w:rPr>
        <w:sz w:val="20"/>
        <w:szCs w:val="20"/>
      </w:rPr>
    </w:pPr>
    <w:r>
      <w:fldChar w:fldCharType="begin"/>
    </w:r>
    <w:r>
      <w:instrText xml:space="preserve"> FILENAME   \* MERGEFORMAT </w:instrText>
    </w:r>
    <w:r>
      <w:fldChar w:fldCharType="separate"/>
    </w:r>
    <w:r w:rsidRPr="00D744BA">
      <w:rPr>
        <w:noProof/>
        <w:sz w:val="20"/>
        <w:szCs w:val="20"/>
      </w:rPr>
      <w:fldChar w:fldCharType="end"/>
    </w:r>
    <w:r>
      <w:rPr>
        <w:noProof/>
        <w:sz w:val="20"/>
        <w:szCs w:val="20"/>
      </w:rPr>
      <w:t>dati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2375" w14:paraId="66F98706" w14:textId="77777777">
      <w:r>
        <w:separator/>
      </w:r>
    </w:p>
  </w:footnote>
  <w:footnote w:type="continuationSeparator" w:id="1">
    <w:p w:rsidR="00492375" w14:paraId="48302D50" w14:textId="77777777">
      <w:r>
        <w:continuationSeparator/>
      </w:r>
    </w:p>
  </w:footnote>
  <w:footnote w:type="continuationNotice" w:id="2">
    <w:p w:rsidR="00492375" w14:paraId="73B251D9" w14:textId="77777777"/>
  </w:footnote>
  <w:footnote w:id="3">
    <w:p w:rsidR="00492375" w:rsidRPr="00A32893" w:rsidP="00830B65" w14:paraId="42CD994C" w14:textId="3E50D17B">
      <w:pPr>
        <w:pStyle w:val="FootnoteText"/>
        <w:jc w:val="both"/>
        <w:rPr>
          <w:lang w:val="en-US"/>
        </w:rPr>
      </w:pPr>
      <w:r>
        <w:rPr>
          <w:rStyle w:val="FootnoteReference"/>
        </w:rPr>
        <w:footnoteRef/>
      </w:r>
      <w:r>
        <w:t xml:space="preserve"> Starptautiskā atvērto datu harta </w:t>
      </w:r>
      <w:r>
        <w:fldChar w:fldCharType="begin"/>
      </w:r>
      <w:r>
        <w:instrText xml:space="preserve"> HYPERLINK "http://opendatacharter.net/principles/" </w:instrText>
      </w:r>
      <w:r>
        <w:fldChar w:fldCharType="separate"/>
      </w:r>
      <w:r w:rsidRPr="00605790">
        <w:rPr>
          <w:rStyle w:val="Hyperlink"/>
        </w:rPr>
        <w:t>http://opendatacharter.net/principles/</w:t>
      </w:r>
      <w:r>
        <w:fldChar w:fldCharType="end"/>
      </w:r>
      <w:r>
        <w:t xml:space="preserve"> (avots pēdējoreiz skatīts 25.07.2017.)</w:t>
      </w:r>
    </w:p>
  </w:footnote>
  <w:footnote w:id="4">
    <w:p w:rsidR="00492375" w:rsidRPr="00E62A72" w:rsidP="00830B65" w14:paraId="647EC064" w14:textId="0125A8AE">
      <w:pPr>
        <w:jc w:val="both"/>
        <w:rPr>
          <w:sz w:val="20"/>
          <w:szCs w:val="25"/>
        </w:rPr>
      </w:pPr>
      <w:r w:rsidRPr="00A32893">
        <w:rPr>
          <w:rStyle w:val="FootnoteReference"/>
          <w:sz w:val="18"/>
        </w:rPr>
        <w:footnoteRef/>
      </w:r>
      <w:r>
        <w:rPr>
          <w:sz w:val="18"/>
        </w:rPr>
        <w:t> </w:t>
      </w:r>
      <w:r w:rsidRPr="00A32893">
        <w:rPr>
          <w:sz w:val="20"/>
          <w:szCs w:val="25"/>
        </w:rPr>
        <w:t>M</w:t>
      </w:r>
      <w:r>
        <w:rPr>
          <w:sz w:val="20"/>
          <w:szCs w:val="25"/>
        </w:rPr>
        <w:t xml:space="preserve">inistru kabineta 2015. gada 17. novembra </w:t>
      </w:r>
      <w:r w:rsidRPr="00A32893">
        <w:rPr>
          <w:sz w:val="20"/>
          <w:szCs w:val="25"/>
        </w:rPr>
        <w:t>noteikumi Nr.</w:t>
      </w:r>
      <w:r>
        <w:rPr>
          <w:sz w:val="20"/>
          <w:szCs w:val="25"/>
        </w:rPr>
        <w:t> </w:t>
      </w:r>
      <w:r w:rsidRPr="00A32893">
        <w:rPr>
          <w:sz w:val="20"/>
          <w:szCs w:val="25"/>
        </w:rPr>
        <w:t>653 “Darbības programmas “Izaugsme un nodarbinātība” 2.2.1.</w:t>
      </w:r>
      <w:r>
        <w:rPr>
          <w:sz w:val="20"/>
          <w:szCs w:val="25"/>
        </w:rPr>
        <w:t> </w:t>
      </w:r>
      <w:r w:rsidRPr="00A32893">
        <w:rPr>
          <w:sz w:val="20"/>
          <w:szCs w:val="25"/>
        </w:rPr>
        <w:t>specifiskā atbalsta mērķa “Nodrošināt publisko datu atkalizmantošanas pieaugumu un efektīvu publiskās pārvaldes un privātā sektora mijiedarbību” 2.2.1.1.</w:t>
      </w:r>
      <w:r>
        <w:rPr>
          <w:sz w:val="20"/>
          <w:szCs w:val="25"/>
        </w:rPr>
        <w:t> </w:t>
      </w:r>
      <w:r w:rsidRPr="00A32893">
        <w:rPr>
          <w:sz w:val="20"/>
          <w:szCs w:val="25"/>
        </w:rPr>
        <w:t>pasākuma “Centralizētu publiskās pārvaldes IKT platformu izveide, publiskās pārvaldes procesu optimizēšana un attīstība” īstenošanas noteikumi”</w:t>
      </w:r>
    </w:p>
  </w:footnote>
  <w:footnote w:id="5">
    <w:p w:rsidR="00492375" w:rsidP="00A32893" w14:paraId="6DA7969D" w14:textId="77777777">
      <w:pPr>
        <w:rPr>
          <w:rFonts w:ascii="Arial" w:hAnsi="Arial" w:cs="Arial"/>
          <w:sz w:val="25"/>
          <w:szCs w:val="25"/>
        </w:rPr>
      </w:pPr>
      <w:r>
        <w:rPr>
          <w:rStyle w:val="FootnoteReference"/>
        </w:rPr>
        <w:footnoteRef/>
      </w:r>
      <w:r>
        <w:t xml:space="preserve"> </w:t>
      </w:r>
      <w:r w:rsidRPr="00A32893">
        <w:rPr>
          <w:sz w:val="20"/>
          <w:szCs w:val="25"/>
        </w:rPr>
        <w:t>Eiropas Komisijas pētījums “Creating Value through Open Data” (Interneta resurss: https://www.europeandataportal.eu/sites/default/files/edp_creating_value_through_open_data_0.pdf)</w:t>
      </w:r>
    </w:p>
    <w:p w:rsidR="00492375" w:rsidRPr="00A32893" w14:paraId="514A0084" w14:textId="7777777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375" w:rsidP="00AF422D" w14:paraId="2CF564F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92375" w14:paraId="5D3061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375" w:rsidP="00AF422D" w14:paraId="23DA34B6" w14:textId="3022C8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rsidR="00492375" w14:paraId="0524EA7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375" w14:paraId="42C07D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71D10FA"/>
    <w:multiLevelType w:val="hybridMultilevel"/>
    <w:tmpl w:val="CC0A2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1">
    <w:nsid w:val="07614D04"/>
    <w:multiLevelType w:val="hybridMultilevel"/>
    <w:tmpl w:val="1458DEA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15:restartNumberingAfterBreak="1">
    <w:nsid w:val="0C8E5CE1"/>
    <w:multiLevelType w:val="hybridMultilevel"/>
    <w:tmpl w:val="6AFCC2CC"/>
    <w:lvl w:ilvl="0">
      <w:start w:val="1"/>
      <w:numFmt w:val="upp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1">
    <w:nsid w:val="1E1B298F"/>
    <w:multiLevelType w:val="hybridMultilevel"/>
    <w:tmpl w:val="9EAA6C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25002586"/>
    <w:multiLevelType w:val="multilevel"/>
    <w:tmpl w:val="71F43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15:restartNumberingAfterBreak="1">
    <w:nsid w:val="311701AC"/>
    <w:multiLevelType w:val="hybridMultilevel"/>
    <w:tmpl w:val="597ECF02"/>
    <w:lvl w:ilvl="0">
      <w:start w:val="1"/>
      <w:numFmt w:val="decimal"/>
      <w:lvlText w:val="%1."/>
      <w:lvlJc w:val="left"/>
      <w:pPr>
        <w:tabs>
          <w:tab w:val="num" w:pos="1740"/>
        </w:tabs>
        <w:ind w:left="1740" w:hanging="1020"/>
      </w:pPr>
      <w:rPr>
        <w:rFonts w:eastAsia="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1">
    <w:nsid w:val="40414122"/>
    <w:multiLevelType w:val="hybridMultilevel"/>
    <w:tmpl w:val="670C9D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1">
    <w:nsid w:val="47776EF6"/>
    <w:multiLevelType w:val="multilevel"/>
    <w:tmpl w:val="2918FEF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1">
    <w:nsid w:val="4A1E2400"/>
    <w:multiLevelType w:val="hybridMultilevel"/>
    <w:tmpl w:val="D2F6AB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1">
    <w:nsid w:val="4F3B43B5"/>
    <w:multiLevelType w:val="hybridMultilevel"/>
    <w:tmpl w:val="4470EB90"/>
    <w:lvl w:ilvl="0">
      <w:start w:val="1"/>
      <w:numFmt w:val="decimal"/>
      <w:lvlText w:val="%1."/>
      <w:lvlJc w:val="left"/>
      <w:pPr>
        <w:tabs>
          <w:tab w:val="num" w:pos="1380"/>
        </w:tabs>
        <w:ind w:left="1380" w:hanging="6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1">
    <w:nsid w:val="7CF5041D"/>
    <w:multiLevelType w:val="hybridMultilevel"/>
    <w:tmpl w:val="3BEC4638"/>
    <w:lvl w:ilvl="0">
      <w:start w:val="1"/>
      <w:numFmt w:val="decimal"/>
      <w:lvlText w:val="%1."/>
      <w:lvlJc w:val="left"/>
      <w:pPr>
        <w:tabs>
          <w:tab w:val="num" w:pos="1080"/>
        </w:tabs>
        <w:ind w:left="1080" w:hanging="36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num w:numId="1">
    <w:abstractNumId w:val="5"/>
  </w:num>
  <w:num w:numId="2">
    <w:abstractNumId w:val="9"/>
  </w:num>
  <w:num w:numId="3">
    <w:abstractNumId w:val="10"/>
  </w:num>
  <w:num w:numId="4">
    <w:abstractNumId w:val="3"/>
  </w:num>
  <w:num w:numId="5">
    <w:abstractNumId w:val="4"/>
  </w:num>
  <w:num w:numId="6">
    <w:abstractNumId w:val="7"/>
  </w:num>
  <w:num w:numId="7">
    <w:abstractNumId w:val="2"/>
  </w:num>
  <w:num w:numId="8">
    <w:abstractNumId w:val="6"/>
  </w:num>
  <w:num w:numId="9">
    <w:abstractNumId w:val="8"/>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87"/>
    <w:rsid w:val="00002C0D"/>
    <w:rsid w:val="000122C5"/>
    <w:rsid w:val="00025842"/>
    <w:rsid w:val="00025E8F"/>
    <w:rsid w:val="00030B14"/>
    <w:rsid w:val="00033A5A"/>
    <w:rsid w:val="00035B34"/>
    <w:rsid w:val="00044EF7"/>
    <w:rsid w:val="00045DAE"/>
    <w:rsid w:val="0004721A"/>
    <w:rsid w:val="00050DED"/>
    <w:rsid w:val="00052ADE"/>
    <w:rsid w:val="00060A06"/>
    <w:rsid w:val="00080D98"/>
    <w:rsid w:val="00083F33"/>
    <w:rsid w:val="000871E7"/>
    <w:rsid w:val="00095994"/>
    <w:rsid w:val="00095D94"/>
    <w:rsid w:val="00096017"/>
    <w:rsid w:val="000A4AC6"/>
    <w:rsid w:val="000A6967"/>
    <w:rsid w:val="000B0949"/>
    <w:rsid w:val="000B784B"/>
    <w:rsid w:val="000C26A7"/>
    <w:rsid w:val="000C369A"/>
    <w:rsid w:val="000C63D1"/>
    <w:rsid w:val="000C65F0"/>
    <w:rsid w:val="000D24C0"/>
    <w:rsid w:val="000E086B"/>
    <w:rsid w:val="000E3979"/>
    <w:rsid w:val="000E51F8"/>
    <w:rsid w:val="000E7A45"/>
    <w:rsid w:val="000F6319"/>
    <w:rsid w:val="00102E98"/>
    <w:rsid w:val="0010605C"/>
    <w:rsid w:val="00114167"/>
    <w:rsid w:val="00124422"/>
    <w:rsid w:val="00126AFF"/>
    <w:rsid w:val="00141785"/>
    <w:rsid w:val="00147B64"/>
    <w:rsid w:val="00147CE6"/>
    <w:rsid w:val="00160250"/>
    <w:rsid w:val="00165C18"/>
    <w:rsid w:val="00174B9B"/>
    <w:rsid w:val="00185AD6"/>
    <w:rsid w:val="00187B93"/>
    <w:rsid w:val="001A7801"/>
    <w:rsid w:val="001B7F3E"/>
    <w:rsid w:val="001C3CA6"/>
    <w:rsid w:val="001C3FA9"/>
    <w:rsid w:val="001C5B1E"/>
    <w:rsid w:val="001C6904"/>
    <w:rsid w:val="001D718B"/>
    <w:rsid w:val="001E330F"/>
    <w:rsid w:val="001F0D12"/>
    <w:rsid w:val="001F3C04"/>
    <w:rsid w:val="0020272A"/>
    <w:rsid w:val="0020470D"/>
    <w:rsid w:val="002050A7"/>
    <w:rsid w:val="0020722F"/>
    <w:rsid w:val="0021132D"/>
    <w:rsid w:val="00211F70"/>
    <w:rsid w:val="002137DA"/>
    <w:rsid w:val="002225AE"/>
    <w:rsid w:val="002256CF"/>
    <w:rsid w:val="00227002"/>
    <w:rsid w:val="0023249B"/>
    <w:rsid w:val="0023348A"/>
    <w:rsid w:val="00235C96"/>
    <w:rsid w:val="0024657C"/>
    <w:rsid w:val="0025587F"/>
    <w:rsid w:val="00256917"/>
    <w:rsid w:val="00260919"/>
    <w:rsid w:val="0026189C"/>
    <w:rsid w:val="00264B41"/>
    <w:rsid w:val="002820AD"/>
    <w:rsid w:val="00282286"/>
    <w:rsid w:val="002840B8"/>
    <w:rsid w:val="002851BF"/>
    <w:rsid w:val="002A2DA6"/>
    <w:rsid w:val="002A5201"/>
    <w:rsid w:val="002A58ED"/>
    <w:rsid w:val="002B257E"/>
    <w:rsid w:val="002B45D2"/>
    <w:rsid w:val="002B64FD"/>
    <w:rsid w:val="002C23E8"/>
    <w:rsid w:val="002C3B52"/>
    <w:rsid w:val="002C5A6A"/>
    <w:rsid w:val="002D3448"/>
    <w:rsid w:val="002D6882"/>
    <w:rsid w:val="002E047C"/>
    <w:rsid w:val="002E3026"/>
    <w:rsid w:val="002E437F"/>
    <w:rsid w:val="002F2A4D"/>
    <w:rsid w:val="002F459B"/>
    <w:rsid w:val="002F463F"/>
    <w:rsid w:val="002F5D43"/>
    <w:rsid w:val="00313BC3"/>
    <w:rsid w:val="00316797"/>
    <w:rsid w:val="00331FB2"/>
    <w:rsid w:val="00336B9F"/>
    <w:rsid w:val="00337F03"/>
    <w:rsid w:val="00356A9D"/>
    <w:rsid w:val="00357F03"/>
    <w:rsid w:val="00366F08"/>
    <w:rsid w:val="00367D69"/>
    <w:rsid w:val="003751E8"/>
    <w:rsid w:val="00376C87"/>
    <w:rsid w:val="003804F3"/>
    <w:rsid w:val="0038369A"/>
    <w:rsid w:val="00386846"/>
    <w:rsid w:val="00387992"/>
    <w:rsid w:val="003A1D8F"/>
    <w:rsid w:val="003A2E5C"/>
    <w:rsid w:val="003B118A"/>
    <w:rsid w:val="003B2249"/>
    <w:rsid w:val="003B348A"/>
    <w:rsid w:val="003D3234"/>
    <w:rsid w:val="003D4B0B"/>
    <w:rsid w:val="003E1FA4"/>
    <w:rsid w:val="003F3A97"/>
    <w:rsid w:val="003F3AFF"/>
    <w:rsid w:val="003F4278"/>
    <w:rsid w:val="00402B43"/>
    <w:rsid w:val="00405FC0"/>
    <w:rsid w:val="00413D4C"/>
    <w:rsid w:val="00417A11"/>
    <w:rsid w:val="00427E33"/>
    <w:rsid w:val="00445B31"/>
    <w:rsid w:val="00446809"/>
    <w:rsid w:val="004535F3"/>
    <w:rsid w:val="00455BD3"/>
    <w:rsid w:val="00461AD3"/>
    <w:rsid w:val="004644BA"/>
    <w:rsid w:val="00465FD6"/>
    <w:rsid w:val="0046723C"/>
    <w:rsid w:val="00481BF3"/>
    <w:rsid w:val="00484EAB"/>
    <w:rsid w:val="004852AE"/>
    <w:rsid w:val="00485E08"/>
    <w:rsid w:val="00490BD1"/>
    <w:rsid w:val="00492375"/>
    <w:rsid w:val="0049311A"/>
    <w:rsid w:val="00495DEC"/>
    <w:rsid w:val="004A02DB"/>
    <w:rsid w:val="004A661B"/>
    <w:rsid w:val="004B1B83"/>
    <w:rsid w:val="004B7C44"/>
    <w:rsid w:val="004C58C2"/>
    <w:rsid w:val="004C6BB4"/>
    <w:rsid w:val="004D7534"/>
    <w:rsid w:val="004E6311"/>
    <w:rsid w:val="00501713"/>
    <w:rsid w:val="00504E5B"/>
    <w:rsid w:val="005073A3"/>
    <w:rsid w:val="00510158"/>
    <w:rsid w:val="00515E84"/>
    <w:rsid w:val="00517382"/>
    <w:rsid w:val="005424E7"/>
    <w:rsid w:val="00546210"/>
    <w:rsid w:val="005728C8"/>
    <w:rsid w:val="00572A87"/>
    <w:rsid w:val="00576CFB"/>
    <w:rsid w:val="00577CAF"/>
    <w:rsid w:val="00577D13"/>
    <w:rsid w:val="00587069"/>
    <w:rsid w:val="005A06B3"/>
    <w:rsid w:val="005A4CF4"/>
    <w:rsid w:val="005A5EF5"/>
    <w:rsid w:val="005A681B"/>
    <w:rsid w:val="005A7E41"/>
    <w:rsid w:val="005C0387"/>
    <w:rsid w:val="005C768C"/>
    <w:rsid w:val="005E007D"/>
    <w:rsid w:val="005E10E6"/>
    <w:rsid w:val="005E2548"/>
    <w:rsid w:val="005E3495"/>
    <w:rsid w:val="005F33A6"/>
    <w:rsid w:val="005F6B30"/>
    <w:rsid w:val="00605790"/>
    <w:rsid w:val="00607709"/>
    <w:rsid w:val="00607DB5"/>
    <w:rsid w:val="006108D4"/>
    <w:rsid w:val="00622202"/>
    <w:rsid w:val="00632F80"/>
    <w:rsid w:val="006361F0"/>
    <w:rsid w:val="00642E4B"/>
    <w:rsid w:val="00643103"/>
    <w:rsid w:val="006449FF"/>
    <w:rsid w:val="00645C72"/>
    <w:rsid w:val="00650BC0"/>
    <w:rsid w:val="006515FF"/>
    <w:rsid w:val="00657122"/>
    <w:rsid w:val="00660A8C"/>
    <w:rsid w:val="00664A8B"/>
    <w:rsid w:val="00667907"/>
    <w:rsid w:val="00673066"/>
    <w:rsid w:val="00674BB9"/>
    <w:rsid w:val="0067564B"/>
    <w:rsid w:val="00682392"/>
    <w:rsid w:val="00683CA3"/>
    <w:rsid w:val="00691E72"/>
    <w:rsid w:val="00693786"/>
    <w:rsid w:val="0069388C"/>
    <w:rsid w:val="00694F13"/>
    <w:rsid w:val="00695817"/>
    <w:rsid w:val="006A07CE"/>
    <w:rsid w:val="006A2656"/>
    <w:rsid w:val="006A3A5D"/>
    <w:rsid w:val="006A7100"/>
    <w:rsid w:val="006A760C"/>
    <w:rsid w:val="006B19F2"/>
    <w:rsid w:val="006B33D1"/>
    <w:rsid w:val="006D329B"/>
    <w:rsid w:val="006E4DB3"/>
    <w:rsid w:val="006E5E35"/>
    <w:rsid w:val="006E6191"/>
    <w:rsid w:val="006F004E"/>
    <w:rsid w:val="006F3104"/>
    <w:rsid w:val="006F4F8D"/>
    <w:rsid w:val="006F6196"/>
    <w:rsid w:val="00703581"/>
    <w:rsid w:val="007066DC"/>
    <w:rsid w:val="007149D4"/>
    <w:rsid w:val="007246AD"/>
    <w:rsid w:val="0072489A"/>
    <w:rsid w:val="0072760F"/>
    <w:rsid w:val="00737EB2"/>
    <w:rsid w:val="00741F73"/>
    <w:rsid w:val="00781274"/>
    <w:rsid w:val="00781787"/>
    <w:rsid w:val="007B0C5D"/>
    <w:rsid w:val="007B1194"/>
    <w:rsid w:val="007C0C08"/>
    <w:rsid w:val="007C51E5"/>
    <w:rsid w:val="007D4C83"/>
    <w:rsid w:val="007F2ED7"/>
    <w:rsid w:val="007F5012"/>
    <w:rsid w:val="007F628B"/>
    <w:rsid w:val="0080538A"/>
    <w:rsid w:val="0080678C"/>
    <w:rsid w:val="008067B3"/>
    <w:rsid w:val="00806B5E"/>
    <w:rsid w:val="008073C0"/>
    <w:rsid w:val="00821356"/>
    <w:rsid w:val="00827011"/>
    <w:rsid w:val="008275C5"/>
    <w:rsid w:val="00830B65"/>
    <w:rsid w:val="00834548"/>
    <w:rsid w:val="00835F5A"/>
    <w:rsid w:val="008375FF"/>
    <w:rsid w:val="00841841"/>
    <w:rsid w:val="008504AD"/>
    <w:rsid w:val="00851151"/>
    <w:rsid w:val="00860A0F"/>
    <w:rsid w:val="00871884"/>
    <w:rsid w:val="00872BA7"/>
    <w:rsid w:val="00876BD4"/>
    <w:rsid w:val="00887525"/>
    <w:rsid w:val="00897024"/>
    <w:rsid w:val="00897ACC"/>
    <w:rsid w:val="008A2CE4"/>
    <w:rsid w:val="008A4AB5"/>
    <w:rsid w:val="008A66FC"/>
    <w:rsid w:val="008B388E"/>
    <w:rsid w:val="008B6D48"/>
    <w:rsid w:val="008C1D91"/>
    <w:rsid w:val="008C630D"/>
    <w:rsid w:val="008D3520"/>
    <w:rsid w:val="008E150B"/>
    <w:rsid w:val="008E2F0B"/>
    <w:rsid w:val="00901DFB"/>
    <w:rsid w:val="00907D08"/>
    <w:rsid w:val="00910B28"/>
    <w:rsid w:val="00912B1D"/>
    <w:rsid w:val="009154C3"/>
    <w:rsid w:val="00921733"/>
    <w:rsid w:val="00921DDF"/>
    <w:rsid w:val="00934ED5"/>
    <w:rsid w:val="00942399"/>
    <w:rsid w:val="009441B2"/>
    <w:rsid w:val="00944339"/>
    <w:rsid w:val="00956BEA"/>
    <w:rsid w:val="009652F8"/>
    <w:rsid w:val="009830A3"/>
    <w:rsid w:val="00984C5F"/>
    <w:rsid w:val="00984ECE"/>
    <w:rsid w:val="00990D18"/>
    <w:rsid w:val="009A0A8C"/>
    <w:rsid w:val="009A16E3"/>
    <w:rsid w:val="009B13B2"/>
    <w:rsid w:val="009B374B"/>
    <w:rsid w:val="009B546D"/>
    <w:rsid w:val="009B5701"/>
    <w:rsid w:val="009B765B"/>
    <w:rsid w:val="009C0215"/>
    <w:rsid w:val="009E5153"/>
    <w:rsid w:val="009E5DE6"/>
    <w:rsid w:val="00A057C5"/>
    <w:rsid w:val="00A176C7"/>
    <w:rsid w:val="00A2750C"/>
    <w:rsid w:val="00A30ABE"/>
    <w:rsid w:val="00A32893"/>
    <w:rsid w:val="00A40BA4"/>
    <w:rsid w:val="00A40BAB"/>
    <w:rsid w:val="00A43E63"/>
    <w:rsid w:val="00A51D3F"/>
    <w:rsid w:val="00A52702"/>
    <w:rsid w:val="00A56174"/>
    <w:rsid w:val="00A628F9"/>
    <w:rsid w:val="00A7601D"/>
    <w:rsid w:val="00A771E6"/>
    <w:rsid w:val="00A84FCD"/>
    <w:rsid w:val="00A854C0"/>
    <w:rsid w:val="00A91092"/>
    <w:rsid w:val="00A95865"/>
    <w:rsid w:val="00A96B94"/>
    <w:rsid w:val="00AB5042"/>
    <w:rsid w:val="00AC0C1F"/>
    <w:rsid w:val="00AC150C"/>
    <w:rsid w:val="00AD53A1"/>
    <w:rsid w:val="00AE37EC"/>
    <w:rsid w:val="00AF422D"/>
    <w:rsid w:val="00AF5344"/>
    <w:rsid w:val="00AF6B5F"/>
    <w:rsid w:val="00B01164"/>
    <w:rsid w:val="00B30B64"/>
    <w:rsid w:val="00B375DB"/>
    <w:rsid w:val="00B43E4F"/>
    <w:rsid w:val="00B44AE2"/>
    <w:rsid w:val="00B46D5F"/>
    <w:rsid w:val="00B47B82"/>
    <w:rsid w:val="00B5423C"/>
    <w:rsid w:val="00B56994"/>
    <w:rsid w:val="00B579FA"/>
    <w:rsid w:val="00B626FC"/>
    <w:rsid w:val="00B77EE3"/>
    <w:rsid w:val="00B84677"/>
    <w:rsid w:val="00B9405D"/>
    <w:rsid w:val="00B942FD"/>
    <w:rsid w:val="00BB7296"/>
    <w:rsid w:val="00BD44E3"/>
    <w:rsid w:val="00BF0078"/>
    <w:rsid w:val="00BF1EB6"/>
    <w:rsid w:val="00C215CC"/>
    <w:rsid w:val="00C246E1"/>
    <w:rsid w:val="00C35B6F"/>
    <w:rsid w:val="00C36550"/>
    <w:rsid w:val="00C445AD"/>
    <w:rsid w:val="00C47BD2"/>
    <w:rsid w:val="00C51B6E"/>
    <w:rsid w:val="00C60D9C"/>
    <w:rsid w:val="00C7019D"/>
    <w:rsid w:val="00C8433F"/>
    <w:rsid w:val="00C86AEA"/>
    <w:rsid w:val="00C876A1"/>
    <w:rsid w:val="00C9161E"/>
    <w:rsid w:val="00CA3845"/>
    <w:rsid w:val="00CA7C65"/>
    <w:rsid w:val="00CC2832"/>
    <w:rsid w:val="00CD03C8"/>
    <w:rsid w:val="00CD31EE"/>
    <w:rsid w:val="00CD3E8E"/>
    <w:rsid w:val="00CE3E6B"/>
    <w:rsid w:val="00CF1351"/>
    <w:rsid w:val="00CF47E6"/>
    <w:rsid w:val="00CF74CD"/>
    <w:rsid w:val="00D06199"/>
    <w:rsid w:val="00D108EB"/>
    <w:rsid w:val="00D11362"/>
    <w:rsid w:val="00D22DBD"/>
    <w:rsid w:val="00D22DC2"/>
    <w:rsid w:val="00D26B76"/>
    <w:rsid w:val="00D33111"/>
    <w:rsid w:val="00D34451"/>
    <w:rsid w:val="00D41F65"/>
    <w:rsid w:val="00D51B8F"/>
    <w:rsid w:val="00D60DE5"/>
    <w:rsid w:val="00D62BF8"/>
    <w:rsid w:val="00D6381D"/>
    <w:rsid w:val="00D65BD2"/>
    <w:rsid w:val="00D744BA"/>
    <w:rsid w:val="00D80FB3"/>
    <w:rsid w:val="00D814E8"/>
    <w:rsid w:val="00D8637D"/>
    <w:rsid w:val="00D911E2"/>
    <w:rsid w:val="00D9370B"/>
    <w:rsid w:val="00DB16DC"/>
    <w:rsid w:val="00DB1DC0"/>
    <w:rsid w:val="00DB30D1"/>
    <w:rsid w:val="00DB4C0A"/>
    <w:rsid w:val="00DC1B1F"/>
    <w:rsid w:val="00DC2C44"/>
    <w:rsid w:val="00DC77E1"/>
    <w:rsid w:val="00DD1E4E"/>
    <w:rsid w:val="00DD7113"/>
    <w:rsid w:val="00DE1E63"/>
    <w:rsid w:val="00DE70B0"/>
    <w:rsid w:val="00DF0193"/>
    <w:rsid w:val="00DF0DCF"/>
    <w:rsid w:val="00E03B67"/>
    <w:rsid w:val="00E13123"/>
    <w:rsid w:val="00E224B4"/>
    <w:rsid w:val="00E22756"/>
    <w:rsid w:val="00E24CB0"/>
    <w:rsid w:val="00E26CB9"/>
    <w:rsid w:val="00E314C3"/>
    <w:rsid w:val="00E3652E"/>
    <w:rsid w:val="00E46193"/>
    <w:rsid w:val="00E46838"/>
    <w:rsid w:val="00E5045B"/>
    <w:rsid w:val="00E52238"/>
    <w:rsid w:val="00E55745"/>
    <w:rsid w:val="00E6217A"/>
    <w:rsid w:val="00E62A72"/>
    <w:rsid w:val="00E64F15"/>
    <w:rsid w:val="00E65112"/>
    <w:rsid w:val="00E66A51"/>
    <w:rsid w:val="00E73B57"/>
    <w:rsid w:val="00E8064F"/>
    <w:rsid w:val="00E80709"/>
    <w:rsid w:val="00E833A3"/>
    <w:rsid w:val="00E96A4D"/>
    <w:rsid w:val="00E97B27"/>
    <w:rsid w:val="00EA2678"/>
    <w:rsid w:val="00EA4D2B"/>
    <w:rsid w:val="00EB4888"/>
    <w:rsid w:val="00EC251D"/>
    <w:rsid w:val="00EC5D03"/>
    <w:rsid w:val="00ED5433"/>
    <w:rsid w:val="00ED619E"/>
    <w:rsid w:val="00F11E0A"/>
    <w:rsid w:val="00F1334E"/>
    <w:rsid w:val="00F26FEB"/>
    <w:rsid w:val="00F27235"/>
    <w:rsid w:val="00F27CCD"/>
    <w:rsid w:val="00F32267"/>
    <w:rsid w:val="00F4150E"/>
    <w:rsid w:val="00F426FF"/>
    <w:rsid w:val="00F52382"/>
    <w:rsid w:val="00F53968"/>
    <w:rsid w:val="00F54837"/>
    <w:rsid w:val="00F5610B"/>
    <w:rsid w:val="00F7090B"/>
    <w:rsid w:val="00F739BA"/>
    <w:rsid w:val="00F8793B"/>
    <w:rsid w:val="00F901F9"/>
    <w:rsid w:val="00F93D9E"/>
    <w:rsid w:val="00FA0B24"/>
    <w:rsid w:val="00FA7666"/>
    <w:rsid w:val="00FA7DDD"/>
    <w:rsid w:val="00FC02E1"/>
    <w:rsid w:val="00FD353B"/>
    <w:rsid w:val="00FD664B"/>
    <w:rsid w:val="00FE1FFD"/>
    <w:rsid w:val="00FF182D"/>
    <w:rsid w:val="00FF2BD3"/>
    <w:rsid w:val="00FF4282"/>
    <w:rsid w:val="00FF722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5:docId w15:val="{B0211F30-C2E9-4515-BBDB-8268CF37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A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23249B"/>
    <w:pPr>
      <w:spacing w:before="75" w:after="75"/>
      <w:ind w:firstLine="375"/>
      <w:jc w:val="both"/>
    </w:pPr>
  </w:style>
  <w:style w:type="paragraph" w:styleId="Header">
    <w:name w:val="header"/>
    <w:basedOn w:val="Normal"/>
    <w:rsid w:val="0024657C"/>
    <w:pPr>
      <w:tabs>
        <w:tab w:val="center" w:pos="4153"/>
        <w:tab w:val="right" w:pos="8306"/>
      </w:tabs>
    </w:pPr>
  </w:style>
  <w:style w:type="character" w:styleId="PageNumber">
    <w:name w:val="page number"/>
    <w:basedOn w:val="DefaultParagraphFont"/>
    <w:rsid w:val="0024657C"/>
  </w:style>
  <w:style w:type="paragraph" w:styleId="Footer">
    <w:name w:val="footer"/>
    <w:basedOn w:val="Normal"/>
    <w:link w:val="FooterChar"/>
    <w:uiPriority w:val="99"/>
    <w:rsid w:val="00BB7296"/>
    <w:pPr>
      <w:tabs>
        <w:tab w:val="center" w:pos="4153"/>
        <w:tab w:val="right" w:pos="8306"/>
      </w:tabs>
    </w:pPr>
  </w:style>
  <w:style w:type="paragraph" w:styleId="BalloonText">
    <w:name w:val="Balloon Text"/>
    <w:basedOn w:val="Normal"/>
    <w:semiHidden/>
    <w:rsid w:val="005E3495"/>
    <w:rPr>
      <w:rFonts w:ascii="Tahoma" w:hAnsi="Tahoma" w:cs="Tahoma"/>
      <w:sz w:val="16"/>
      <w:szCs w:val="16"/>
    </w:rPr>
  </w:style>
  <w:style w:type="character" w:styleId="Hyperlink">
    <w:name w:val="Hyperlink"/>
    <w:rsid w:val="002E047C"/>
    <w:rPr>
      <w:color w:val="0000FF"/>
      <w:u w:val="single"/>
    </w:rPr>
  </w:style>
  <w:style w:type="table" w:styleId="TableGrid">
    <w:name w:val="Table Grid"/>
    <w:basedOn w:val="TableNormal"/>
    <w:rsid w:val="002E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CharCharRakstzCharCharRakstzCharCharRakstzCharCharRakstz">
    <w:name w:val="Rakstz. Char Char Rakstz. Char Char Rakstz. Char Char Rakstz. Char Char Rakstz. Char Char Rakstz. Char Char Rakstz."/>
    <w:basedOn w:val="Normal"/>
    <w:rsid w:val="002E047C"/>
    <w:pPr>
      <w:spacing w:after="160" w:line="240" w:lineRule="exact"/>
    </w:pPr>
    <w:rPr>
      <w:rFonts w:ascii="Tahoma" w:hAnsi="Tahoma"/>
      <w:sz w:val="20"/>
      <w:szCs w:val="20"/>
      <w:lang w:val="en-US" w:eastAsia="en-US"/>
    </w:rPr>
  </w:style>
  <w:style w:type="character" w:styleId="CommentReference">
    <w:name w:val="annotation reference"/>
    <w:rsid w:val="00174B9B"/>
    <w:rPr>
      <w:sz w:val="16"/>
      <w:szCs w:val="16"/>
    </w:rPr>
  </w:style>
  <w:style w:type="paragraph" w:styleId="CommentText">
    <w:name w:val="annotation text"/>
    <w:basedOn w:val="Normal"/>
    <w:link w:val="CommentTextChar"/>
    <w:rsid w:val="00174B9B"/>
    <w:rPr>
      <w:sz w:val="20"/>
      <w:szCs w:val="20"/>
    </w:rPr>
  </w:style>
  <w:style w:type="character" w:customStyle="1" w:styleId="CommentTextChar">
    <w:name w:val="Comment Text Char"/>
    <w:basedOn w:val="DefaultParagraphFont"/>
    <w:link w:val="CommentText"/>
    <w:rsid w:val="00174B9B"/>
  </w:style>
  <w:style w:type="paragraph" w:styleId="CommentSubject">
    <w:name w:val="annotation subject"/>
    <w:basedOn w:val="CommentText"/>
    <w:next w:val="CommentText"/>
    <w:link w:val="CommentSubjectChar"/>
    <w:rsid w:val="00174B9B"/>
    <w:rPr>
      <w:b/>
      <w:bCs/>
    </w:rPr>
  </w:style>
  <w:style w:type="character" w:customStyle="1" w:styleId="CommentSubjectChar">
    <w:name w:val="Comment Subject Char"/>
    <w:link w:val="CommentSubject"/>
    <w:rsid w:val="00174B9B"/>
    <w:rPr>
      <w:b/>
      <w:bCs/>
    </w:rPr>
  </w:style>
  <w:style w:type="character" w:customStyle="1" w:styleId="FooterChar">
    <w:name w:val="Footer Char"/>
    <w:link w:val="Footer"/>
    <w:uiPriority w:val="99"/>
    <w:rsid w:val="00E6217A"/>
    <w:rPr>
      <w:sz w:val="24"/>
      <w:szCs w:val="24"/>
    </w:rPr>
  </w:style>
  <w:style w:type="paragraph" w:styleId="ListParagraph">
    <w:name w:val="List Paragraph"/>
    <w:basedOn w:val="Normal"/>
    <w:uiPriority w:val="34"/>
    <w:qFormat/>
    <w:rsid w:val="00B01164"/>
    <w:pPr>
      <w:suppressAutoHyphens/>
      <w:ind w:left="720"/>
    </w:pPr>
    <w:rPr>
      <w:lang w:eastAsia="zh-CN"/>
    </w:rPr>
  </w:style>
  <w:style w:type="character" w:customStyle="1" w:styleId="FootnoteCharacters">
    <w:name w:val="Footnote Characters"/>
    <w:rsid w:val="00B01164"/>
    <w:rPr>
      <w:vertAlign w:val="superscript"/>
    </w:rPr>
  </w:style>
  <w:style w:type="paragraph" w:styleId="FootnoteText">
    <w:name w:val="footnote text"/>
    <w:basedOn w:val="Normal"/>
    <w:link w:val="FootnoteTextChar"/>
    <w:rsid w:val="00B01164"/>
    <w:pPr>
      <w:suppressAutoHyphens/>
    </w:pPr>
    <w:rPr>
      <w:sz w:val="20"/>
      <w:szCs w:val="20"/>
      <w:lang w:eastAsia="zh-CN"/>
    </w:rPr>
  </w:style>
  <w:style w:type="character" w:customStyle="1" w:styleId="FootnoteTextChar">
    <w:name w:val="Footnote Text Char"/>
    <w:basedOn w:val="DefaultParagraphFont"/>
    <w:link w:val="FootnoteText"/>
    <w:rsid w:val="00B01164"/>
    <w:rPr>
      <w:lang w:eastAsia="zh-CN"/>
    </w:rPr>
  </w:style>
  <w:style w:type="paragraph" w:styleId="BodyText">
    <w:name w:val="Body Text"/>
    <w:basedOn w:val="Normal"/>
    <w:link w:val="BodyTextChar"/>
    <w:uiPriority w:val="99"/>
    <w:unhideWhenUsed/>
    <w:rsid w:val="00C36550"/>
    <w:pPr>
      <w:spacing w:after="120" w:line="276" w:lineRule="auto"/>
    </w:pPr>
    <w:rPr>
      <w:rFonts w:asciiTheme="minorHAnsi" w:eastAsiaTheme="minorEastAsia" w:hAnsiTheme="minorHAnsi" w:cstheme="minorBidi"/>
      <w:sz w:val="21"/>
      <w:szCs w:val="21"/>
      <w:lang w:eastAsia="en-US"/>
    </w:rPr>
  </w:style>
  <w:style w:type="character" w:customStyle="1" w:styleId="BodyTextChar">
    <w:name w:val="Body Text Char"/>
    <w:basedOn w:val="DefaultParagraphFont"/>
    <w:link w:val="BodyText"/>
    <w:uiPriority w:val="99"/>
    <w:rsid w:val="00C36550"/>
    <w:rPr>
      <w:rFonts w:asciiTheme="minorHAnsi" w:eastAsiaTheme="minorEastAsia" w:hAnsiTheme="minorHAnsi" w:cstheme="minorBidi"/>
      <w:sz w:val="21"/>
      <w:szCs w:val="21"/>
      <w:lang w:eastAsia="en-US"/>
    </w:rPr>
  </w:style>
  <w:style w:type="paragraph" w:styleId="Title">
    <w:name w:val="Title"/>
    <w:basedOn w:val="Normal"/>
    <w:link w:val="TitleChar"/>
    <w:qFormat/>
    <w:rsid w:val="00D41F65"/>
    <w:pPr>
      <w:jc w:val="center"/>
    </w:pPr>
    <w:rPr>
      <w:sz w:val="28"/>
      <w:szCs w:val="28"/>
    </w:rPr>
  </w:style>
  <w:style w:type="character" w:customStyle="1" w:styleId="TitleChar">
    <w:name w:val="Title Char"/>
    <w:basedOn w:val="DefaultParagraphFont"/>
    <w:link w:val="Title"/>
    <w:rsid w:val="00D41F65"/>
    <w:rPr>
      <w:sz w:val="28"/>
      <w:szCs w:val="28"/>
    </w:rPr>
  </w:style>
  <w:style w:type="character" w:styleId="FootnoteReference">
    <w:name w:val="footnote reference"/>
    <w:basedOn w:val="DefaultParagraphFont"/>
    <w:semiHidden/>
    <w:unhideWhenUsed/>
    <w:rsid w:val="00A32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DAC8-4AC6-4B03-A28A-747D8B74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5</Pages>
  <Words>10643</Words>
  <Characters>6067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Informatīvais ziņojums par Ministru kabineta 2015.gada 1.septembra sēdes protokollēmuma (prot.Nr.44, 34.#) 2.punktā dotā uzdevuma izpildi</vt:lpstr>
    </vt:vector>
  </TitlesOfParts>
  <Company>VARAM</Company>
  <LinksUpToDate>false</LinksUpToDate>
  <CharactersWithSpaces>16677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Ministru kabineta 2015.gada 1.septembra sēdes protokollēmuma (prot.Nr.44, 34.#) 2.punktā dotā uzdevuma izpildi</dc:title>
  <dc:subject>Informatīvais ziņojums</dc:subject>
  <dc:creator>Mikus Jēkabsons</dc:creator>
  <cp:lastModifiedBy>Kaspars Cirsis</cp:lastModifiedBy>
  <cp:revision>10</cp:revision>
  <cp:lastPrinted>2017-09-15T06:48:00Z</cp:lastPrinted>
  <dcterms:created xsi:type="dcterms:W3CDTF">2017-11-13T09:58:00Z</dcterms:created>
  <dcterms:modified xsi:type="dcterms:W3CDTF">2017-11-29T12:36:00Z</dcterms:modified>
</cp:coreProperties>
</file>